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A8" w:rsidRPr="008F4835" w:rsidRDefault="001B0BA8" w:rsidP="001B0BA8">
      <w:pPr>
        <w:jc w:val="center"/>
        <w:rPr>
          <w:rFonts w:ascii="Calibri" w:eastAsia="Times New Roman" w:hAnsi="Calibri" w:cs="Times New Roman"/>
          <w:b/>
          <w:bCs/>
          <w:noProof/>
          <w:sz w:val="24"/>
          <w:szCs w:val="24"/>
          <w:lang w:val="uk-UA" w:eastAsia="ru-RU"/>
        </w:rPr>
      </w:pPr>
      <w:r w:rsidRPr="008F483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-348615</wp:posOffset>
            </wp:positionV>
            <wp:extent cx="814705" cy="1076325"/>
            <wp:effectExtent l="19050" t="0" r="4445" b="0"/>
            <wp:wrapSquare wrapText="bothSides"/>
            <wp:docPr id="1" name="Рисунок 1" descr="http://icfm.ru/imgs/logo_icf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cfm.ru/imgs/logo_icfm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4835">
        <w:rPr>
          <w:lang w:val="uk-UA"/>
        </w:rPr>
        <w:br/>
      </w:r>
      <w:r w:rsidRPr="008F4835">
        <w:rPr>
          <w:rFonts w:ascii="Calibri" w:eastAsia="Times New Roman" w:hAnsi="Calibri" w:cs="Times New Roman"/>
          <w:b/>
          <w:bCs/>
          <w:noProof/>
          <w:sz w:val="24"/>
          <w:szCs w:val="24"/>
          <w:lang w:val="uk-UA" w:eastAsia="ru-RU"/>
        </w:rPr>
        <w:t>ПРОГРАМА PM</w:t>
      </w:r>
      <w:r w:rsidR="00820ABA">
        <w:rPr>
          <w:rFonts w:ascii="Calibri" w:eastAsia="Times New Roman" w:hAnsi="Calibri" w:cs="Times New Roman"/>
          <w:b/>
          <w:bCs/>
          <w:noProof/>
          <w:sz w:val="24"/>
          <w:szCs w:val="24"/>
          <w:lang w:val="en-US" w:eastAsia="ru-RU"/>
        </w:rPr>
        <w:t>C</w:t>
      </w:r>
      <w:bookmarkStart w:id="0" w:name="_GoBack"/>
      <w:bookmarkEnd w:id="0"/>
      <w:r w:rsidRPr="008F4835">
        <w:rPr>
          <w:rFonts w:ascii="Calibri" w:eastAsia="Times New Roman" w:hAnsi="Calibri" w:cs="Times New Roman"/>
          <w:b/>
          <w:bCs/>
          <w:noProof/>
          <w:sz w:val="24"/>
          <w:szCs w:val="24"/>
          <w:lang w:val="uk-UA" w:eastAsia="ru-RU"/>
        </w:rPr>
        <w:t xml:space="preserve"> ICFM UK (72 години) </w:t>
      </w:r>
    </w:p>
    <w:p w:rsidR="00F71E61" w:rsidRPr="008F4835" w:rsidRDefault="001B0BA8" w:rsidP="001B0BA8">
      <w:pPr>
        <w:jc w:val="center"/>
        <w:rPr>
          <w:rFonts w:ascii="Calibri" w:eastAsia="Times New Roman" w:hAnsi="Calibri" w:cs="Times New Roman"/>
          <w:b/>
          <w:bCs/>
          <w:noProof/>
          <w:sz w:val="24"/>
          <w:szCs w:val="24"/>
          <w:lang w:val="uk-UA" w:eastAsia="ru-RU"/>
        </w:rPr>
      </w:pPr>
      <w:r w:rsidRPr="008F4835">
        <w:rPr>
          <w:rFonts w:ascii="Calibri" w:eastAsia="Times New Roman" w:hAnsi="Calibri" w:cs="Times New Roman"/>
          <w:b/>
          <w:bCs/>
          <w:noProof/>
          <w:sz w:val="24"/>
          <w:szCs w:val="24"/>
          <w:lang w:val="uk-UA" w:eastAsia="ru-RU"/>
        </w:rPr>
        <w:t>«ПЛАНУВАННЯ ТА УПРАВЛІННЯ»</w:t>
      </w:r>
    </w:p>
    <w:p w:rsidR="008F4835" w:rsidRPr="008F4835" w:rsidRDefault="008F4835" w:rsidP="008F4835">
      <w:pPr>
        <w:numPr>
          <w:ilvl w:val="0"/>
          <w:numId w:val="1"/>
        </w:numPr>
        <w:tabs>
          <w:tab w:val="left" w:pos="0"/>
          <w:tab w:val="left" w:pos="426"/>
        </w:tabs>
        <w:ind w:left="284" w:hanging="360"/>
        <w:contextualSpacing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 w:rsidRPr="008F4835">
        <w:rPr>
          <w:lang w:val="uk-UA"/>
        </w:rPr>
        <w:br/>
      </w:r>
      <w:r w:rsidRPr="008F4835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>1. Поняття і методи податкового планування</w:t>
      </w:r>
      <w:r w:rsidRPr="008F4835">
        <w:rPr>
          <w:rFonts w:ascii="Arial" w:hAnsi="Arial" w:cs="Arial"/>
          <w:color w:val="212121"/>
          <w:shd w:val="clear" w:color="auto" w:fill="FFFFFF"/>
          <w:lang w:val="uk-UA"/>
        </w:rPr>
        <w:t xml:space="preserve"> </w:t>
      </w:r>
    </w:p>
    <w:p w:rsidR="008F4835" w:rsidRPr="008F4835" w:rsidRDefault="008F4835" w:rsidP="008F4835">
      <w:pPr>
        <w:numPr>
          <w:ilvl w:val="0"/>
          <w:numId w:val="2"/>
        </w:numPr>
        <w:tabs>
          <w:tab w:val="left" w:pos="0"/>
          <w:tab w:val="left" w:pos="426"/>
        </w:tabs>
        <w:ind w:left="1146" w:hanging="360"/>
        <w:contextualSpacing/>
        <w:jc w:val="both"/>
        <w:rPr>
          <w:rFonts w:ascii="Calibri" w:eastAsia="Times New Roman" w:hAnsi="Calibri" w:cs="Times New Roman"/>
          <w:bCs/>
          <w:iCs/>
          <w:sz w:val="24"/>
          <w:szCs w:val="24"/>
          <w:lang w:val="uk-UA" w:eastAsia="ru-RU"/>
        </w:rPr>
      </w:pPr>
      <w:r w:rsidRPr="008F4835">
        <w:rPr>
          <w:rFonts w:ascii="Calibri" w:eastAsia="Times New Roman" w:hAnsi="Calibri" w:cs="Times New Roman"/>
          <w:bCs/>
          <w:iCs/>
          <w:sz w:val="24"/>
          <w:szCs w:val="24"/>
          <w:lang w:val="uk-UA" w:eastAsia="ru-RU"/>
        </w:rPr>
        <w:t xml:space="preserve">1. </w:t>
      </w:r>
      <w:proofErr w:type="spellStart"/>
      <w:r w:rsidRPr="008F4835">
        <w:rPr>
          <w:rFonts w:ascii="Calibri" w:eastAsia="Times New Roman" w:hAnsi="Calibri" w:cs="Times New Roman"/>
          <w:bCs/>
          <w:iCs/>
          <w:sz w:val="24"/>
          <w:szCs w:val="24"/>
          <w:lang w:val="uk-UA" w:eastAsia="ru-RU"/>
        </w:rPr>
        <w:t>Обгрунтована</w:t>
      </w:r>
      <w:proofErr w:type="spellEnd"/>
      <w:r w:rsidRPr="008F4835">
        <w:rPr>
          <w:rFonts w:ascii="Calibri" w:eastAsia="Times New Roman" w:hAnsi="Calibri" w:cs="Times New Roman"/>
          <w:bCs/>
          <w:iCs/>
          <w:sz w:val="24"/>
          <w:szCs w:val="24"/>
          <w:lang w:val="uk-UA" w:eastAsia="ru-RU"/>
        </w:rPr>
        <w:t xml:space="preserve"> і </w:t>
      </w:r>
      <w:proofErr w:type="spellStart"/>
      <w:r w:rsidRPr="008F4835">
        <w:rPr>
          <w:rFonts w:ascii="Calibri" w:eastAsia="Times New Roman" w:hAnsi="Calibri" w:cs="Times New Roman"/>
          <w:bCs/>
          <w:iCs/>
          <w:sz w:val="24"/>
          <w:szCs w:val="24"/>
          <w:lang w:val="uk-UA" w:eastAsia="ru-RU"/>
        </w:rPr>
        <w:t>необгрунтована</w:t>
      </w:r>
      <w:proofErr w:type="spellEnd"/>
      <w:r w:rsidRPr="008F4835">
        <w:rPr>
          <w:rFonts w:ascii="Calibri" w:eastAsia="Times New Roman" w:hAnsi="Calibri" w:cs="Times New Roman"/>
          <w:bCs/>
          <w:iCs/>
          <w:sz w:val="24"/>
          <w:szCs w:val="24"/>
          <w:lang w:val="uk-UA" w:eastAsia="ru-RU"/>
        </w:rPr>
        <w:t xml:space="preserve"> податкова вигода. </w:t>
      </w:r>
    </w:p>
    <w:p w:rsidR="008F4835" w:rsidRPr="008F4835" w:rsidRDefault="008F4835" w:rsidP="008F4835">
      <w:pPr>
        <w:numPr>
          <w:ilvl w:val="0"/>
          <w:numId w:val="2"/>
        </w:numPr>
        <w:tabs>
          <w:tab w:val="left" w:pos="0"/>
          <w:tab w:val="left" w:pos="426"/>
        </w:tabs>
        <w:ind w:left="1146" w:hanging="360"/>
        <w:contextualSpacing/>
        <w:jc w:val="both"/>
        <w:rPr>
          <w:rFonts w:ascii="Calibri" w:eastAsia="Times New Roman" w:hAnsi="Calibri" w:cs="Times New Roman"/>
          <w:bCs/>
          <w:iCs/>
          <w:sz w:val="24"/>
          <w:szCs w:val="24"/>
          <w:lang w:val="uk-UA" w:eastAsia="ru-RU"/>
        </w:rPr>
      </w:pPr>
      <w:r w:rsidRPr="008F4835">
        <w:rPr>
          <w:rFonts w:ascii="Calibri" w:eastAsia="Times New Roman" w:hAnsi="Calibri" w:cs="Times New Roman"/>
          <w:bCs/>
          <w:iCs/>
          <w:sz w:val="24"/>
          <w:szCs w:val="24"/>
          <w:lang w:val="uk-UA" w:eastAsia="ru-RU"/>
        </w:rPr>
        <w:t xml:space="preserve">2. Податкове планування і ухилення від сплати податків. </w:t>
      </w:r>
    </w:p>
    <w:p w:rsidR="008F4835" w:rsidRPr="008F4835" w:rsidRDefault="008F4835" w:rsidP="008F4835">
      <w:pPr>
        <w:numPr>
          <w:ilvl w:val="0"/>
          <w:numId w:val="2"/>
        </w:numPr>
        <w:tabs>
          <w:tab w:val="left" w:pos="0"/>
          <w:tab w:val="left" w:pos="426"/>
        </w:tabs>
        <w:ind w:left="1146" w:hanging="360"/>
        <w:contextualSpacing/>
        <w:jc w:val="both"/>
        <w:rPr>
          <w:rFonts w:ascii="Calibri" w:eastAsia="Times New Roman" w:hAnsi="Calibri" w:cs="Times New Roman"/>
          <w:bCs/>
          <w:iCs/>
          <w:sz w:val="24"/>
          <w:szCs w:val="24"/>
          <w:lang w:val="uk-UA" w:eastAsia="ru-RU"/>
        </w:rPr>
      </w:pPr>
      <w:r w:rsidRPr="008F4835">
        <w:rPr>
          <w:rFonts w:ascii="Calibri" w:eastAsia="Times New Roman" w:hAnsi="Calibri" w:cs="Times New Roman"/>
          <w:bCs/>
          <w:iCs/>
          <w:sz w:val="24"/>
          <w:szCs w:val="24"/>
          <w:lang w:val="uk-UA" w:eastAsia="ru-RU"/>
        </w:rPr>
        <w:t xml:space="preserve">3. Принципи та стадії податкового планування. </w:t>
      </w:r>
    </w:p>
    <w:p w:rsidR="008F4835" w:rsidRPr="008F4835" w:rsidRDefault="008F4835" w:rsidP="008F4835">
      <w:pPr>
        <w:numPr>
          <w:ilvl w:val="0"/>
          <w:numId w:val="2"/>
        </w:numPr>
        <w:tabs>
          <w:tab w:val="left" w:pos="0"/>
          <w:tab w:val="left" w:pos="426"/>
        </w:tabs>
        <w:ind w:left="1146" w:hanging="360"/>
        <w:contextualSpacing/>
        <w:jc w:val="both"/>
        <w:rPr>
          <w:rFonts w:ascii="Calibri" w:eastAsia="Times New Roman" w:hAnsi="Calibri" w:cs="Times New Roman"/>
          <w:bCs/>
          <w:iCs/>
          <w:sz w:val="24"/>
          <w:szCs w:val="24"/>
          <w:lang w:val="uk-UA" w:eastAsia="ru-RU"/>
        </w:rPr>
      </w:pPr>
      <w:r w:rsidRPr="008F4835">
        <w:rPr>
          <w:rFonts w:ascii="Calibri" w:eastAsia="Times New Roman" w:hAnsi="Calibri" w:cs="Times New Roman"/>
          <w:bCs/>
          <w:iCs/>
          <w:sz w:val="24"/>
          <w:szCs w:val="24"/>
          <w:lang w:val="uk-UA" w:eastAsia="ru-RU"/>
        </w:rPr>
        <w:t>4. Податкові ризики при роботі з недобросовісним контрагентом.</w:t>
      </w:r>
    </w:p>
    <w:p w:rsidR="008F4835" w:rsidRPr="008F4835" w:rsidRDefault="008F4835" w:rsidP="008F4835">
      <w:pPr>
        <w:numPr>
          <w:ilvl w:val="0"/>
          <w:numId w:val="2"/>
        </w:numPr>
        <w:tabs>
          <w:tab w:val="left" w:pos="0"/>
          <w:tab w:val="left" w:pos="426"/>
        </w:tabs>
        <w:ind w:left="1146" w:hanging="360"/>
        <w:contextualSpacing/>
        <w:jc w:val="both"/>
        <w:rPr>
          <w:rFonts w:ascii="Calibri" w:eastAsia="Times New Roman" w:hAnsi="Calibri" w:cs="Times New Roman"/>
          <w:bCs/>
          <w:iCs/>
          <w:sz w:val="24"/>
          <w:szCs w:val="24"/>
          <w:lang w:val="uk-UA" w:eastAsia="ru-RU"/>
        </w:rPr>
      </w:pPr>
      <w:r w:rsidRPr="008F4835">
        <w:rPr>
          <w:rFonts w:ascii="Calibri" w:eastAsia="Times New Roman" w:hAnsi="Calibri" w:cs="Times New Roman"/>
          <w:bCs/>
          <w:iCs/>
          <w:sz w:val="24"/>
          <w:szCs w:val="24"/>
          <w:lang w:val="uk-UA" w:eastAsia="ru-RU"/>
        </w:rPr>
        <w:t xml:space="preserve"> 5. Як «перевірити» контрагента - рекомендації: що перевіряти і яким способом.</w:t>
      </w:r>
    </w:p>
    <w:p w:rsidR="008F4835" w:rsidRPr="008F4835" w:rsidRDefault="008F4835" w:rsidP="008F4835">
      <w:pPr>
        <w:numPr>
          <w:ilvl w:val="0"/>
          <w:numId w:val="1"/>
        </w:numPr>
        <w:tabs>
          <w:tab w:val="left" w:pos="0"/>
          <w:tab w:val="left" w:pos="426"/>
        </w:tabs>
        <w:ind w:left="284" w:hanging="360"/>
        <w:contextualSpacing/>
        <w:jc w:val="both"/>
        <w:rPr>
          <w:rFonts w:ascii="Calibri" w:eastAsia="Times New Roman" w:hAnsi="Calibri" w:cs="Times New Roman"/>
          <w:b/>
          <w:bCs/>
          <w:iCs/>
          <w:sz w:val="24"/>
          <w:szCs w:val="24"/>
          <w:lang w:val="uk-UA" w:eastAsia="ru-RU"/>
        </w:rPr>
      </w:pPr>
      <w:r w:rsidRPr="008F4835">
        <w:rPr>
          <w:lang w:val="uk-UA"/>
        </w:rPr>
        <w:br/>
      </w:r>
      <w:r w:rsidRPr="008F4835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>2. Взаємозв'язок податкового та цивільного законодавства з метою оптимізації оподаткування</w:t>
      </w:r>
      <w:r w:rsidRPr="008F4835">
        <w:rPr>
          <w:rFonts w:ascii="Arial" w:hAnsi="Arial" w:cs="Arial"/>
          <w:b/>
          <w:color w:val="212121"/>
          <w:shd w:val="clear" w:color="auto" w:fill="FFFFFF"/>
          <w:lang w:val="uk-UA"/>
        </w:rPr>
        <w:t xml:space="preserve"> </w:t>
      </w:r>
    </w:p>
    <w:p w:rsidR="008F4835" w:rsidRPr="008F4835" w:rsidRDefault="008F4835" w:rsidP="008F4835">
      <w:pPr>
        <w:numPr>
          <w:ilvl w:val="0"/>
          <w:numId w:val="2"/>
        </w:numPr>
        <w:tabs>
          <w:tab w:val="left" w:pos="0"/>
          <w:tab w:val="left" w:pos="426"/>
        </w:tabs>
        <w:ind w:left="1146" w:hanging="360"/>
        <w:contextualSpacing/>
        <w:jc w:val="both"/>
        <w:rPr>
          <w:rFonts w:ascii="Calibri" w:eastAsia="Times New Roman" w:hAnsi="Calibri" w:cs="Times New Roman"/>
          <w:bCs/>
          <w:iCs/>
          <w:sz w:val="24"/>
          <w:szCs w:val="24"/>
          <w:lang w:val="uk-UA" w:eastAsia="ru-RU"/>
        </w:rPr>
      </w:pPr>
      <w:r w:rsidRPr="008F4835">
        <w:rPr>
          <w:rFonts w:ascii="Calibri" w:eastAsia="Times New Roman" w:hAnsi="Calibri" w:cs="Times New Roman"/>
          <w:bCs/>
          <w:iCs/>
          <w:sz w:val="24"/>
          <w:szCs w:val="24"/>
          <w:lang w:val="uk-UA" w:eastAsia="ru-RU"/>
        </w:rPr>
        <w:t xml:space="preserve">1. Вибір організаційно-правової форми юридичної особи. Вибір місця реєстрації. </w:t>
      </w:r>
    </w:p>
    <w:p w:rsidR="008F4835" w:rsidRPr="008F4835" w:rsidRDefault="008F4835" w:rsidP="008F4835">
      <w:pPr>
        <w:numPr>
          <w:ilvl w:val="0"/>
          <w:numId w:val="2"/>
        </w:numPr>
        <w:tabs>
          <w:tab w:val="left" w:pos="0"/>
          <w:tab w:val="left" w:pos="426"/>
        </w:tabs>
        <w:ind w:left="1146" w:hanging="360"/>
        <w:contextualSpacing/>
        <w:jc w:val="both"/>
        <w:rPr>
          <w:rFonts w:ascii="Calibri" w:eastAsia="Times New Roman" w:hAnsi="Calibri" w:cs="Times New Roman"/>
          <w:bCs/>
          <w:iCs/>
          <w:sz w:val="24"/>
          <w:szCs w:val="24"/>
          <w:lang w:val="uk-UA" w:eastAsia="ru-RU"/>
        </w:rPr>
      </w:pPr>
      <w:r w:rsidRPr="008F4835">
        <w:rPr>
          <w:rFonts w:ascii="Calibri" w:eastAsia="Times New Roman" w:hAnsi="Calibri" w:cs="Times New Roman"/>
          <w:bCs/>
          <w:iCs/>
          <w:sz w:val="24"/>
          <w:szCs w:val="24"/>
          <w:lang w:val="uk-UA" w:eastAsia="ru-RU"/>
        </w:rPr>
        <w:t xml:space="preserve">2. Податкові режими </w:t>
      </w:r>
    </w:p>
    <w:p w:rsidR="008F4835" w:rsidRPr="008F4835" w:rsidRDefault="008F4835" w:rsidP="008F4835">
      <w:pPr>
        <w:numPr>
          <w:ilvl w:val="0"/>
          <w:numId w:val="2"/>
        </w:numPr>
        <w:tabs>
          <w:tab w:val="left" w:pos="0"/>
          <w:tab w:val="left" w:pos="426"/>
        </w:tabs>
        <w:ind w:left="1146" w:hanging="360"/>
        <w:contextualSpacing/>
        <w:jc w:val="both"/>
        <w:rPr>
          <w:rFonts w:ascii="Calibri" w:eastAsia="Times New Roman" w:hAnsi="Calibri" w:cs="Times New Roman"/>
          <w:bCs/>
          <w:iCs/>
          <w:sz w:val="24"/>
          <w:szCs w:val="24"/>
          <w:lang w:val="uk-UA" w:eastAsia="ru-RU"/>
        </w:rPr>
      </w:pPr>
      <w:r w:rsidRPr="008F4835">
        <w:rPr>
          <w:rFonts w:ascii="Calibri" w:eastAsia="Times New Roman" w:hAnsi="Calibri" w:cs="Times New Roman"/>
          <w:bCs/>
          <w:iCs/>
          <w:sz w:val="24"/>
          <w:szCs w:val="24"/>
          <w:lang w:val="uk-UA" w:eastAsia="ru-RU"/>
        </w:rPr>
        <w:t xml:space="preserve">3. Вибір договірної форми здійснення діяльності. </w:t>
      </w:r>
    </w:p>
    <w:p w:rsidR="008F4835" w:rsidRPr="008F4835" w:rsidRDefault="008F4835" w:rsidP="008F4835">
      <w:pPr>
        <w:numPr>
          <w:ilvl w:val="0"/>
          <w:numId w:val="2"/>
        </w:numPr>
        <w:tabs>
          <w:tab w:val="left" w:pos="0"/>
          <w:tab w:val="left" w:pos="426"/>
        </w:tabs>
        <w:ind w:left="1146" w:hanging="360"/>
        <w:contextualSpacing/>
        <w:jc w:val="both"/>
        <w:rPr>
          <w:rFonts w:ascii="Calibri" w:eastAsia="Times New Roman" w:hAnsi="Calibri" w:cs="Times New Roman"/>
          <w:bCs/>
          <w:iCs/>
          <w:sz w:val="24"/>
          <w:szCs w:val="24"/>
          <w:lang w:val="uk-UA" w:eastAsia="ru-RU"/>
        </w:rPr>
      </w:pPr>
      <w:r w:rsidRPr="008F4835">
        <w:rPr>
          <w:rFonts w:ascii="Calibri" w:eastAsia="Times New Roman" w:hAnsi="Calibri" w:cs="Times New Roman"/>
          <w:bCs/>
          <w:iCs/>
          <w:sz w:val="24"/>
          <w:szCs w:val="24"/>
          <w:lang w:val="uk-UA" w:eastAsia="ru-RU"/>
        </w:rPr>
        <w:t>4. Особливості формування облікової політики з метою зниження податкового навантаження (пільгові підприємства: ІТ-компанії, особливі економічні зони, вільні економічні зони, території випереджаючого розвитку). Податкове планування за участю нерезидентних структур.</w:t>
      </w:r>
    </w:p>
    <w:p w:rsidR="008F4835" w:rsidRPr="008F4835" w:rsidRDefault="008F4835" w:rsidP="008F4835">
      <w:pPr>
        <w:numPr>
          <w:ilvl w:val="0"/>
          <w:numId w:val="2"/>
        </w:numPr>
        <w:tabs>
          <w:tab w:val="left" w:pos="0"/>
          <w:tab w:val="left" w:pos="426"/>
        </w:tabs>
        <w:ind w:left="1146" w:hanging="360"/>
        <w:contextualSpacing/>
        <w:jc w:val="both"/>
        <w:rPr>
          <w:rFonts w:ascii="Calibri" w:eastAsia="Times New Roman" w:hAnsi="Calibri" w:cs="Times New Roman"/>
          <w:bCs/>
          <w:iCs/>
          <w:sz w:val="24"/>
          <w:szCs w:val="24"/>
          <w:lang w:val="uk-UA" w:eastAsia="ru-RU"/>
        </w:rPr>
      </w:pPr>
      <w:r w:rsidRPr="008F4835">
        <w:rPr>
          <w:lang w:val="uk-UA"/>
        </w:rPr>
        <w:br/>
      </w:r>
      <w:r w:rsidRPr="008F4835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>3. Основні види податків</w:t>
      </w:r>
      <w:r w:rsidRPr="008F4835">
        <w:rPr>
          <w:rFonts w:ascii="Arial" w:hAnsi="Arial" w:cs="Arial"/>
          <w:color w:val="212121"/>
          <w:shd w:val="clear" w:color="auto" w:fill="FFFFFF"/>
          <w:lang w:val="uk-UA"/>
        </w:rPr>
        <w:t xml:space="preserve"> </w:t>
      </w:r>
    </w:p>
    <w:p w:rsidR="008F4835" w:rsidRPr="008F4835" w:rsidRDefault="008F4835" w:rsidP="008F4835">
      <w:pPr>
        <w:numPr>
          <w:ilvl w:val="0"/>
          <w:numId w:val="2"/>
        </w:numPr>
        <w:tabs>
          <w:tab w:val="left" w:pos="0"/>
          <w:tab w:val="left" w:pos="426"/>
        </w:tabs>
        <w:ind w:left="1146" w:hanging="360"/>
        <w:contextualSpacing/>
        <w:jc w:val="both"/>
        <w:rPr>
          <w:rFonts w:ascii="Calibri" w:eastAsia="Times New Roman" w:hAnsi="Calibri" w:cs="Times New Roman"/>
          <w:bCs/>
          <w:iCs/>
          <w:sz w:val="24"/>
          <w:szCs w:val="24"/>
          <w:lang w:val="uk-UA" w:eastAsia="ru-RU"/>
        </w:rPr>
      </w:pPr>
      <w:r w:rsidRPr="008F4835">
        <w:rPr>
          <w:rFonts w:ascii="Calibri" w:eastAsia="Times New Roman" w:hAnsi="Calibri" w:cs="Times New Roman"/>
          <w:bCs/>
          <w:iCs/>
          <w:sz w:val="24"/>
          <w:szCs w:val="24"/>
          <w:lang w:val="uk-UA" w:eastAsia="ru-RU"/>
        </w:rPr>
        <w:t xml:space="preserve">1. Адміністративна, податкова і кримінальна відповідальність за застосування нелегітимних схем оптимізації податкового навантаження. </w:t>
      </w:r>
    </w:p>
    <w:p w:rsidR="008F4835" w:rsidRPr="008F4835" w:rsidRDefault="008F4835" w:rsidP="008F4835">
      <w:pPr>
        <w:numPr>
          <w:ilvl w:val="0"/>
          <w:numId w:val="2"/>
        </w:numPr>
        <w:tabs>
          <w:tab w:val="left" w:pos="0"/>
          <w:tab w:val="left" w:pos="426"/>
        </w:tabs>
        <w:ind w:left="1146" w:hanging="360"/>
        <w:contextualSpacing/>
        <w:jc w:val="both"/>
        <w:rPr>
          <w:rFonts w:ascii="Calibri" w:eastAsia="Times New Roman" w:hAnsi="Calibri" w:cs="Times New Roman"/>
          <w:bCs/>
          <w:iCs/>
          <w:sz w:val="24"/>
          <w:szCs w:val="24"/>
          <w:lang w:val="uk-UA" w:eastAsia="ru-RU"/>
        </w:rPr>
      </w:pPr>
      <w:r w:rsidRPr="008F4835">
        <w:rPr>
          <w:rFonts w:ascii="Calibri" w:eastAsia="Times New Roman" w:hAnsi="Calibri" w:cs="Times New Roman"/>
          <w:bCs/>
          <w:iCs/>
          <w:sz w:val="24"/>
          <w:szCs w:val="24"/>
          <w:lang w:val="uk-UA" w:eastAsia="ru-RU"/>
        </w:rPr>
        <w:t xml:space="preserve">2. Планування та оптимізація окремих податків. </w:t>
      </w:r>
    </w:p>
    <w:p w:rsidR="008F4835" w:rsidRPr="008F4835" w:rsidRDefault="008F4835" w:rsidP="008F4835">
      <w:pPr>
        <w:numPr>
          <w:ilvl w:val="0"/>
          <w:numId w:val="2"/>
        </w:numPr>
        <w:tabs>
          <w:tab w:val="left" w:pos="0"/>
          <w:tab w:val="left" w:pos="426"/>
        </w:tabs>
        <w:ind w:left="1146" w:hanging="360"/>
        <w:contextualSpacing/>
        <w:jc w:val="both"/>
        <w:rPr>
          <w:rFonts w:ascii="Calibri" w:eastAsia="Times New Roman" w:hAnsi="Calibri" w:cs="Times New Roman"/>
          <w:bCs/>
          <w:iCs/>
          <w:sz w:val="24"/>
          <w:szCs w:val="24"/>
          <w:lang w:val="uk-UA" w:eastAsia="ru-RU"/>
        </w:rPr>
      </w:pPr>
      <w:r w:rsidRPr="008F4835">
        <w:rPr>
          <w:rFonts w:ascii="Calibri" w:eastAsia="Times New Roman" w:hAnsi="Calibri" w:cs="Times New Roman"/>
          <w:bCs/>
          <w:iCs/>
          <w:sz w:val="24"/>
          <w:szCs w:val="24"/>
          <w:lang w:val="uk-UA" w:eastAsia="ru-RU"/>
        </w:rPr>
        <w:t xml:space="preserve">3. Страхові внески, що нараховуються на заробітну плату. Вибір договірних відносин з працівниками. Пільги і компенсації. Формування соціального пакету для співробітника. Виплата дивідендів. Використання праці іноземців. </w:t>
      </w:r>
    </w:p>
    <w:p w:rsidR="008F4835" w:rsidRPr="008F4835" w:rsidRDefault="008F4835" w:rsidP="008F4835">
      <w:pPr>
        <w:numPr>
          <w:ilvl w:val="0"/>
          <w:numId w:val="2"/>
        </w:numPr>
        <w:tabs>
          <w:tab w:val="left" w:pos="0"/>
          <w:tab w:val="left" w:pos="426"/>
        </w:tabs>
        <w:ind w:left="1146" w:hanging="360"/>
        <w:contextualSpacing/>
        <w:jc w:val="both"/>
        <w:rPr>
          <w:rFonts w:ascii="Calibri" w:eastAsia="Times New Roman" w:hAnsi="Calibri" w:cs="Times New Roman"/>
          <w:bCs/>
          <w:iCs/>
          <w:sz w:val="24"/>
          <w:szCs w:val="24"/>
          <w:lang w:val="uk-UA" w:eastAsia="ru-RU"/>
        </w:rPr>
      </w:pPr>
      <w:r w:rsidRPr="008F4835">
        <w:rPr>
          <w:rFonts w:ascii="Calibri" w:eastAsia="Times New Roman" w:hAnsi="Calibri" w:cs="Times New Roman"/>
          <w:bCs/>
          <w:iCs/>
          <w:sz w:val="24"/>
          <w:szCs w:val="24"/>
          <w:lang w:val="uk-UA" w:eastAsia="ru-RU"/>
        </w:rPr>
        <w:t xml:space="preserve">4. Податок на додану вартість. Звільнення від сплати ПДВ. Роздільний облік ПДВ. </w:t>
      </w:r>
    </w:p>
    <w:p w:rsidR="008F4835" w:rsidRPr="008F4835" w:rsidRDefault="008F4835" w:rsidP="008F4835">
      <w:pPr>
        <w:numPr>
          <w:ilvl w:val="0"/>
          <w:numId w:val="2"/>
        </w:numPr>
        <w:tabs>
          <w:tab w:val="left" w:pos="0"/>
          <w:tab w:val="left" w:pos="426"/>
        </w:tabs>
        <w:ind w:left="1146" w:hanging="360"/>
        <w:contextualSpacing/>
        <w:jc w:val="both"/>
        <w:rPr>
          <w:rFonts w:ascii="Calibri" w:eastAsia="Times New Roman" w:hAnsi="Calibri" w:cs="Times New Roman"/>
          <w:bCs/>
          <w:iCs/>
          <w:sz w:val="24"/>
          <w:szCs w:val="24"/>
          <w:lang w:val="uk-UA" w:eastAsia="ru-RU"/>
        </w:rPr>
      </w:pPr>
      <w:r w:rsidRPr="008F4835">
        <w:rPr>
          <w:rFonts w:ascii="Calibri" w:eastAsia="Times New Roman" w:hAnsi="Calibri" w:cs="Times New Roman"/>
          <w:bCs/>
          <w:iCs/>
          <w:sz w:val="24"/>
          <w:szCs w:val="24"/>
          <w:lang w:val="uk-UA" w:eastAsia="ru-RU"/>
        </w:rPr>
        <w:t>5. Податок на майно організацій і транспортний податок.</w:t>
      </w:r>
    </w:p>
    <w:sectPr w:rsidR="008F4835" w:rsidRPr="008F4835" w:rsidSect="00F7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2B3"/>
    <w:multiLevelType w:val="multilevel"/>
    <w:tmpl w:val="13E82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BA8"/>
    <w:rsid w:val="001B0BA8"/>
    <w:rsid w:val="00820ABA"/>
    <w:rsid w:val="008F4835"/>
    <w:rsid w:val="00F7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olya</cp:lastModifiedBy>
  <cp:revision>3</cp:revision>
  <dcterms:created xsi:type="dcterms:W3CDTF">2019-02-21T10:01:00Z</dcterms:created>
  <dcterms:modified xsi:type="dcterms:W3CDTF">2019-02-23T09:53:00Z</dcterms:modified>
</cp:coreProperties>
</file>