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D3" w:rsidRDefault="008D2DD3" w:rsidP="008D2DD3">
      <w:pPr>
        <w:jc w:val="center"/>
        <w:rPr>
          <w:rFonts w:eastAsia="Times New Roman"/>
          <w:b/>
          <w:bCs/>
          <w:noProof/>
          <w:sz w:val="24"/>
          <w:szCs w:val="24"/>
          <w:lang w:val="en-US" w:eastAsia="uk-UA"/>
        </w:rPr>
      </w:pPr>
    </w:p>
    <w:p w:rsidR="008D2DD3" w:rsidRDefault="00771105" w:rsidP="008D2DD3">
      <w:pPr>
        <w:jc w:val="center"/>
        <w:rPr>
          <w:rFonts w:eastAsia="Times New Roman"/>
          <w:b/>
          <w:bCs/>
          <w:noProof/>
          <w:sz w:val="24"/>
          <w:szCs w:val="24"/>
          <w:lang w:val="ru-RU" w:eastAsia="uk-UA"/>
        </w:rPr>
      </w:pPr>
      <w:r>
        <w:rPr>
          <w:rFonts w:eastAsia="Times New Roman"/>
          <w:b/>
          <w:bCs/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-299720</wp:posOffset>
            </wp:positionV>
            <wp:extent cx="814705" cy="1076325"/>
            <wp:effectExtent l="19050" t="0" r="4445" b="0"/>
            <wp:wrapSquare wrapText="bothSides"/>
            <wp:docPr id="2" name="Рисунок 1" descr="http://icfm.ru/imgs/logo_icf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cfm.ru/imgs/logo_icfm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1105" w:rsidRPr="00771105" w:rsidRDefault="00771105" w:rsidP="008D2DD3">
      <w:pPr>
        <w:jc w:val="center"/>
        <w:rPr>
          <w:rFonts w:eastAsia="Times New Roman"/>
          <w:b/>
          <w:bCs/>
          <w:noProof/>
          <w:sz w:val="24"/>
          <w:szCs w:val="24"/>
          <w:lang w:val="ru-RU" w:eastAsia="uk-UA"/>
        </w:rPr>
      </w:pPr>
    </w:p>
    <w:p w:rsidR="008D2DD3" w:rsidRPr="009B3A92" w:rsidRDefault="008D2DD3" w:rsidP="008D2DD3">
      <w:pPr>
        <w:jc w:val="center"/>
        <w:rPr>
          <w:rFonts w:eastAsia="Times New Roman"/>
          <w:b/>
          <w:bCs/>
          <w:noProof/>
          <w:sz w:val="24"/>
          <w:szCs w:val="24"/>
          <w:lang w:val="ru-RU" w:eastAsia="uk-UA"/>
        </w:rPr>
      </w:pPr>
      <w:r>
        <w:rPr>
          <w:rFonts w:eastAsia="Times New Roman"/>
          <w:b/>
          <w:bCs/>
          <w:noProof/>
          <w:sz w:val="24"/>
          <w:szCs w:val="24"/>
          <w:lang w:val="ru-RU" w:eastAsia="uk-UA"/>
        </w:rPr>
        <w:t>ПРОГРАМ</w:t>
      </w:r>
      <w:r w:rsidR="00AC0AE3">
        <w:rPr>
          <w:rFonts w:eastAsia="Times New Roman"/>
          <w:b/>
          <w:bCs/>
          <w:noProof/>
          <w:sz w:val="24"/>
          <w:szCs w:val="24"/>
          <w:lang w:eastAsia="uk-UA"/>
        </w:rPr>
        <w:t>М</w:t>
      </w:r>
      <w:r>
        <w:rPr>
          <w:rFonts w:eastAsia="Times New Roman"/>
          <w:b/>
          <w:bCs/>
          <w:noProof/>
          <w:sz w:val="24"/>
          <w:szCs w:val="24"/>
          <w:lang w:val="ru-RU" w:eastAsia="uk-UA"/>
        </w:rPr>
        <w:t>А CF</w:t>
      </w:r>
      <w:r w:rsidRPr="008D2DD3">
        <w:rPr>
          <w:rFonts w:eastAsia="Times New Roman"/>
          <w:b/>
          <w:bCs/>
          <w:noProof/>
          <w:sz w:val="24"/>
          <w:szCs w:val="24"/>
          <w:lang w:val="ru-RU" w:eastAsia="uk-UA"/>
        </w:rPr>
        <w:t>М</w:t>
      </w:r>
      <w:r w:rsidRPr="009B3A92">
        <w:rPr>
          <w:rFonts w:eastAsia="Times New Roman"/>
          <w:b/>
          <w:bCs/>
          <w:noProof/>
          <w:sz w:val="24"/>
          <w:szCs w:val="24"/>
          <w:lang w:val="ru-RU" w:eastAsia="uk-UA"/>
        </w:rPr>
        <w:t xml:space="preserve"> ICFM UK (72 години) </w:t>
      </w:r>
    </w:p>
    <w:p w:rsidR="008D2DD3" w:rsidRDefault="008D2DD3" w:rsidP="00771105">
      <w:pPr>
        <w:jc w:val="center"/>
        <w:rPr>
          <w:rFonts w:eastAsia="Times New Roman"/>
          <w:b/>
          <w:bCs/>
          <w:noProof/>
          <w:sz w:val="24"/>
          <w:szCs w:val="24"/>
          <w:lang w:val="ru-RU" w:eastAsia="uk-UA"/>
        </w:rPr>
      </w:pPr>
      <w:r w:rsidRPr="009B3A92">
        <w:rPr>
          <w:rFonts w:eastAsia="Times New Roman"/>
          <w:b/>
          <w:bCs/>
          <w:noProof/>
          <w:sz w:val="24"/>
          <w:szCs w:val="24"/>
          <w:lang w:val="ru-RU" w:eastAsia="uk-UA"/>
        </w:rPr>
        <w:t> "</w:t>
      </w:r>
      <w:r w:rsidRPr="008D2DD3">
        <w:rPr>
          <w:rFonts w:eastAsia="Times New Roman"/>
          <w:b/>
          <w:bCs/>
          <w:noProof/>
          <w:sz w:val="24"/>
          <w:szCs w:val="24"/>
          <w:lang w:val="ru-RU" w:eastAsia="uk-UA"/>
        </w:rPr>
        <w:t xml:space="preserve"> </w:t>
      </w:r>
      <w:r w:rsidR="00771105" w:rsidRPr="00771105">
        <w:rPr>
          <w:rFonts w:eastAsia="Times New Roman"/>
          <w:b/>
          <w:bCs/>
          <w:noProof/>
          <w:sz w:val="24"/>
          <w:szCs w:val="24"/>
          <w:lang w:val="ru-RU" w:eastAsia="uk-UA"/>
        </w:rPr>
        <w:t>Правовые основы финансового менеджмента</w:t>
      </w:r>
      <w:r w:rsidR="00771105" w:rsidRPr="009B3A92">
        <w:rPr>
          <w:rFonts w:eastAsia="Times New Roman"/>
          <w:b/>
          <w:bCs/>
          <w:noProof/>
          <w:sz w:val="24"/>
          <w:szCs w:val="24"/>
          <w:lang w:val="ru-RU" w:eastAsia="uk-UA"/>
        </w:rPr>
        <w:t xml:space="preserve"> </w:t>
      </w:r>
      <w:r w:rsidRPr="009B3A92">
        <w:rPr>
          <w:rFonts w:eastAsia="Times New Roman"/>
          <w:b/>
          <w:bCs/>
          <w:noProof/>
          <w:sz w:val="24"/>
          <w:szCs w:val="24"/>
          <w:lang w:val="ru-RU" w:eastAsia="uk-UA"/>
        </w:rPr>
        <w:t>"</w:t>
      </w:r>
    </w:p>
    <w:p w:rsidR="006961B5" w:rsidRDefault="006961B5"/>
    <w:p w:rsidR="004D5C9E" w:rsidRDefault="004D5C9E"/>
    <w:p w:rsidR="008D2DD3" w:rsidRPr="00771105" w:rsidRDefault="00603451">
      <w:pPr>
        <w:rPr>
          <w:rFonts w:cs="Arial"/>
          <w:lang w:val="ru-RU"/>
        </w:rPr>
      </w:pPr>
      <w:r w:rsidRPr="00164CFF">
        <w:rPr>
          <w:rFonts w:cs="Arial"/>
          <w:lang w:val="ru-RU"/>
        </w:rPr>
        <w:t>1.  Финансовая деятельность государства</w:t>
      </w:r>
    </w:p>
    <w:p w:rsidR="00603451" w:rsidRPr="00771105" w:rsidRDefault="00603451">
      <w:pPr>
        <w:rPr>
          <w:rFonts w:cs="Arial"/>
          <w:lang w:val="ru-RU"/>
        </w:rPr>
      </w:pPr>
      <w:r w:rsidRPr="00164CFF">
        <w:rPr>
          <w:rFonts w:cs="Arial"/>
          <w:lang w:val="ru-RU"/>
        </w:rPr>
        <w:t>2. Финансовое право</w:t>
      </w:r>
    </w:p>
    <w:p w:rsidR="00603451" w:rsidRPr="00164CFF" w:rsidRDefault="00603451" w:rsidP="00603451">
      <w:pPr>
        <w:rPr>
          <w:rFonts w:cs="Arial"/>
          <w:lang w:val="ru-RU"/>
        </w:rPr>
      </w:pPr>
      <w:r w:rsidRPr="00164CFF">
        <w:rPr>
          <w:rFonts w:cs="Arial"/>
          <w:lang w:val="ru-RU"/>
        </w:rPr>
        <w:t xml:space="preserve">3. Государственный финансовый контроль </w:t>
      </w:r>
    </w:p>
    <w:p w:rsidR="00603451" w:rsidRPr="00771105" w:rsidRDefault="00603451">
      <w:pPr>
        <w:rPr>
          <w:rFonts w:cs="Arial"/>
          <w:lang w:val="ru-RU"/>
        </w:rPr>
      </w:pPr>
      <w:r w:rsidRPr="00164CFF">
        <w:rPr>
          <w:rFonts w:cs="Arial"/>
          <w:lang w:val="ru-RU"/>
        </w:rPr>
        <w:t>4. Бюджетное право</w:t>
      </w:r>
    </w:p>
    <w:p w:rsidR="00603451" w:rsidRPr="00164CFF" w:rsidRDefault="00603451" w:rsidP="00603451">
      <w:pPr>
        <w:rPr>
          <w:rFonts w:cs="Arial"/>
          <w:lang w:val="ru-RU"/>
        </w:rPr>
      </w:pPr>
      <w:r w:rsidRPr="00164CFF">
        <w:rPr>
          <w:rFonts w:cs="Arial"/>
          <w:lang w:val="ru-RU"/>
        </w:rPr>
        <w:t>5.  Правовое регулирование государственных и муниципальных доходов</w:t>
      </w:r>
    </w:p>
    <w:p w:rsidR="00603451" w:rsidRPr="00771105" w:rsidRDefault="00603451" w:rsidP="00603451">
      <w:pPr>
        <w:rPr>
          <w:rFonts w:cs="Arial"/>
          <w:lang w:val="ru-RU"/>
        </w:rPr>
      </w:pPr>
      <w:r w:rsidRPr="00164CFF">
        <w:rPr>
          <w:rFonts w:cs="Arial"/>
          <w:lang w:val="ru-RU"/>
        </w:rPr>
        <w:t>6. Налоговое право</w:t>
      </w:r>
    </w:p>
    <w:p w:rsidR="00603451" w:rsidRPr="00771105" w:rsidRDefault="00603451" w:rsidP="00603451">
      <w:pPr>
        <w:rPr>
          <w:rFonts w:cs="Arial"/>
          <w:lang w:val="ru-RU"/>
        </w:rPr>
      </w:pPr>
      <w:r w:rsidRPr="00164CFF">
        <w:rPr>
          <w:rFonts w:cs="Arial"/>
          <w:lang w:val="ru-RU"/>
        </w:rPr>
        <w:t>7. Налоги и сборы</w:t>
      </w:r>
    </w:p>
    <w:p w:rsidR="00603451" w:rsidRPr="00164CFF" w:rsidRDefault="00603451" w:rsidP="00603451">
      <w:pPr>
        <w:rPr>
          <w:rFonts w:cs="Arial"/>
          <w:lang w:val="ru-RU"/>
        </w:rPr>
      </w:pPr>
      <w:r w:rsidRPr="00164CFF">
        <w:rPr>
          <w:rFonts w:cs="Arial"/>
          <w:lang w:val="ru-RU"/>
        </w:rPr>
        <w:t>8. Региональные и местные налоги</w:t>
      </w:r>
    </w:p>
    <w:p w:rsidR="00603451" w:rsidRPr="00771105" w:rsidRDefault="00603451" w:rsidP="00603451">
      <w:pPr>
        <w:rPr>
          <w:rFonts w:cs="Arial"/>
          <w:lang w:val="ru-RU"/>
        </w:rPr>
      </w:pPr>
      <w:r w:rsidRPr="00164CFF">
        <w:rPr>
          <w:rFonts w:cs="Arial"/>
          <w:lang w:val="ru-RU"/>
        </w:rPr>
        <w:t>9. Правовое регулирование государственного кредита</w:t>
      </w:r>
    </w:p>
    <w:p w:rsidR="00603451" w:rsidRPr="00164CFF" w:rsidRDefault="00603451" w:rsidP="00603451">
      <w:pPr>
        <w:rPr>
          <w:rFonts w:cs="Arial"/>
          <w:lang w:val="ru-RU"/>
        </w:rPr>
      </w:pPr>
      <w:r w:rsidRPr="00164CFF">
        <w:rPr>
          <w:rFonts w:cs="Arial"/>
          <w:lang w:val="ru-RU"/>
        </w:rPr>
        <w:t xml:space="preserve">10. Страховое право </w:t>
      </w:r>
    </w:p>
    <w:p w:rsidR="00603451" w:rsidRPr="00771105" w:rsidRDefault="00603451" w:rsidP="00603451">
      <w:pPr>
        <w:rPr>
          <w:rFonts w:cs="Arial"/>
          <w:lang w:val="ru-RU"/>
        </w:rPr>
      </w:pPr>
      <w:r w:rsidRPr="00164CFF">
        <w:rPr>
          <w:rFonts w:cs="Arial"/>
          <w:lang w:val="ru-RU"/>
        </w:rPr>
        <w:t>11. Правовое регулирование государственных расходов</w:t>
      </w:r>
    </w:p>
    <w:p w:rsidR="00603451" w:rsidRPr="00164CFF" w:rsidRDefault="00603451" w:rsidP="00603451">
      <w:pPr>
        <w:rPr>
          <w:rFonts w:cs="Arial"/>
          <w:lang w:val="ru-RU"/>
        </w:rPr>
      </w:pPr>
      <w:r w:rsidRPr="00164CFF">
        <w:rPr>
          <w:rFonts w:cs="Arial"/>
          <w:lang w:val="ru-RU"/>
        </w:rPr>
        <w:t>12. Финансово-правовое регулирование банковской деятельности</w:t>
      </w:r>
    </w:p>
    <w:p w:rsidR="00603451" w:rsidRPr="00771105" w:rsidRDefault="00603451" w:rsidP="00603451">
      <w:pPr>
        <w:rPr>
          <w:rFonts w:cs="Arial"/>
          <w:lang w:val="ru-RU"/>
        </w:rPr>
      </w:pPr>
      <w:r w:rsidRPr="00164CFF">
        <w:rPr>
          <w:rFonts w:cs="Arial"/>
          <w:lang w:val="ru-RU"/>
        </w:rPr>
        <w:t>13. Правовое обеспечение и регулирование рынка ценных бумаг</w:t>
      </w:r>
    </w:p>
    <w:p w:rsidR="00603451" w:rsidRPr="00164CFF" w:rsidRDefault="00603451" w:rsidP="00603451">
      <w:pPr>
        <w:rPr>
          <w:rFonts w:cs="Arial"/>
          <w:lang w:val="ru-RU"/>
        </w:rPr>
      </w:pPr>
      <w:r w:rsidRPr="00164CFF">
        <w:rPr>
          <w:rFonts w:cs="Arial"/>
          <w:lang w:val="ru-RU"/>
        </w:rPr>
        <w:t xml:space="preserve">14. Финансово-правовое регулирование денежной системы </w:t>
      </w:r>
    </w:p>
    <w:p w:rsidR="00603451" w:rsidRPr="00164CFF" w:rsidRDefault="00603451" w:rsidP="00603451">
      <w:pPr>
        <w:rPr>
          <w:rFonts w:cs="Arial"/>
          <w:lang w:val="ru-RU"/>
        </w:rPr>
      </w:pPr>
      <w:r w:rsidRPr="00164CFF">
        <w:rPr>
          <w:rFonts w:cs="Arial"/>
          <w:lang w:val="ru-RU"/>
        </w:rPr>
        <w:t xml:space="preserve">15. Правовое регулирование денежного оборота и расчетов </w:t>
      </w:r>
    </w:p>
    <w:p w:rsidR="00603451" w:rsidRPr="00164CFF" w:rsidRDefault="00603451" w:rsidP="00603451">
      <w:pPr>
        <w:rPr>
          <w:rFonts w:cs="Arial"/>
          <w:lang w:val="ru-RU"/>
        </w:rPr>
      </w:pPr>
      <w:r w:rsidRPr="00164CFF">
        <w:rPr>
          <w:rFonts w:cs="Arial"/>
          <w:lang w:val="ru-RU"/>
        </w:rPr>
        <w:t xml:space="preserve">16. Инвестиционное право </w:t>
      </w:r>
    </w:p>
    <w:p w:rsidR="00603451" w:rsidRPr="00771105" w:rsidRDefault="00603451" w:rsidP="00603451">
      <w:pPr>
        <w:rPr>
          <w:rFonts w:cs="Arial"/>
          <w:lang w:val="ru-RU"/>
        </w:rPr>
      </w:pPr>
      <w:r w:rsidRPr="00164CFF">
        <w:rPr>
          <w:rFonts w:cs="Arial"/>
          <w:lang w:val="ru-RU"/>
        </w:rPr>
        <w:t>17. Основы валютного права</w:t>
      </w:r>
    </w:p>
    <w:p w:rsidR="00603451" w:rsidRPr="00164CFF" w:rsidRDefault="00603451" w:rsidP="00603451">
      <w:pPr>
        <w:rPr>
          <w:rFonts w:cs="Arial"/>
          <w:lang w:val="ru-RU"/>
        </w:rPr>
      </w:pPr>
      <w:r w:rsidRPr="00164CFF">
        <w:rPr>
          <w:rFonts w:cs="Arial"/>
          <w:lang w:val="ru-RU"/>
        </w:rPr>
        <w:t xml:space="preserve">18. Правовые основы бухгалтерского учета </w:t>
      </w:r>
    </w:p>
    <w:p w:rsidR="00603451" w:rsidRPr="00771105" w:rsidRDefault="00603451" w:rsidP="00603451">
      <w:pPr>
        <w:rPr>
          <w:rFonts w:ascii="Calibri" w:eastAsia="Calibri" w:hAnsi="Calibri" w:cs="Times New Roman"/>
          <w:sz w:val="24"/>
          <w:szCs w:val="24"/>
          <w:lang w:val="ru-RU" w:eastAsia="ru-RU"/>
        </w:rPr>
      </w:pPr>
    </w:p>
    <w:sectPr w:rsidR="00603451" w:rsidRPr="00771105" w:rsidSect="006961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D2DD3"/>
    <w:rsid w:val="000207AF"/>
    <w:rsid w:val="00164CFF"/>
    <w:rsid w:val="004B6C81"/>
    <w:rsid w:val="004D5C9E"/>
    <w:rsid w:val="00603451"/>
    <w:rsid w:val="006961B5"/>
    <w:rsid w:val="00771105"/>
    <w:rsid w:val="008D2DD3"/>
    <w:rsid w:val="00AC0AE3"/>
    <w:rsid w:val="00D41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711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1105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506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yulia</cp:lastModifiedBy>
  <cp:revision>5</cp:revision>
  <dcterms:created xsi:type="dcterms:W3CDTF">2019-02-25T13:25:00Z</dcterms:created>
  <dcterms:modified xsi:type="dcterms:W3CDTF">2019-02-25T14:24:00Z</dcterms:modified>
</cp:coreProperties>
</file>