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FD3" w:rsidRDefault="00FE4FD3" w:rsidP="00FE4FD3">
      <w:pPr>
        <w:jc w:val="center"/>
        <w:rPr>
          <w:rFonts w:eastAsia="Times New Roman"/>
          <w:b/>
          <w:bCs/>
          <w:noProof/>
          <w:sz w:val="24"/>
          <w:szCs w:val="24"/>
          <w:lang w:val="ru-RU" w:eastAsia="uk-UA"/>
        </w:rPr>
      </w:pPr>
      <w:r>
        <w:br/>
      </w:r>
    </w:p>
    <w:p w:rsidR="00FE4FD3" w:rsidRDefault="00FE4FD3" w:rsidP="00FE4FD3">
      <w:pPr>
        <w:jc w:val="center"/>
        <w:rPr>
          <w:rFonts w:eastAsia="Times New Roman"/>
          <w:b/>
          <w:bCs/>
          <w:noProof/>
          <w:sz w:val="24"/>
          <w:szCs w:val="24"/>
          <w:lang w:val="ru-RU" w:eastAsia="uk-UA"/>
        </w:rPr>
      </w:pPr>
      <w:r>
        <w:rPr>
          <w:rFonts w:eastAsia="Times New Roman"/>
          <w:b/>
          <w:bCs/>
          <w:noProof/>
          <w:sz w:val="24"/>
          <w:szCs w:val="24"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-671195</wp:posOffset>
            </wp:positionH>
            <wp:positionV relativeFrom="paragraph">
              <wp:posOffset>-391160</wp:posOffset>
            </wp:positionV>
            <wp:extent cx="814705" cy="1076325"/>
            <wp:effectExtent l="19050" t="0" r="4445" b="0"/>
            <wp:wrapSquare wrapText="bothSides"/>
            <wp:docPr id="1" name="Рисунок 1" descr="http://icfm.ru/imgs/logo_icf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icfm.ru/imgs/logo_icfm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E4FD3" w:rsidRPr="00FE4FD3" w:rsidRDefault="00FE4FD3" w:rsidP="00FE4FD3">
      <w:pPr>
        <w:jc w:val="center"/>
        <w:rPr>
          <w:rFonts w:eastAsia="Times New Roman"/>
          <w:b/>
          <w:bCs/>
          <w:noProof/>
          <w:sz w:val="24"/>
          <w:szCs w:val="24"/>
          <w:lang w:val="ru-RU" w:eastAsia="uk-UA"/>
        </w:rPr>
      </w:pPr>
      <w:r w:rsidRPr="00FE4FD3">
        <w:rPr>
          <w:rFonts w:eastAsia="Times New Roman"/>
          <w:b/>
          <w:bCs/>
          <w:noProof/>
          <w:sz w:val="24"/>
          <w:szCs w:val="24"/>
          <w:lang w:val="ru-RU" w:eastAsia="uk-UA"/>
        </w:rPr>
        <w:t xml:space="preserve">ПРОГРАМА CFМ ICFM UK (72 години) </w:t>
      </w:r>
    </w:p>
    <w:p w:rsidR="00AE54D6" w:rsidRDefault="00AE54D6" w:rsidP="00AE54D6">
      <w:pPr>
        <w:jc w:val="center"/>
        <w:rPr>
          <w:rFonts w:eastAsia="Times New Roman"/>
          <w:b/>
          <w:bCs/>
          <w:noProof/>
          <w:sz w:val="24"/>
          <w:szCs w:val="24"/>
          <w:lang w:val="ru-RU" w:eastAsia="uk-UA"/>
        </w:rPr>
      </w:pPr>
      <w:r>
        <w:rPr>
          <w:b/>
          <w:bCs/>
          <w:noProof/>
          <w:sz w:val="24"/>
          <w:szCs w:val="24"/>
          <w:lang w:val="ru-RU"/>
        </w:rPr>
        <w:t xml:space="preserve"> </w:t>
      </w:r>
      <w:r w:rsidR="00FE4FD3" w:rsidRPr="00FE4FD3">
        <w:rPr>
          <w:rFonts w:eastAsia="Times New Roman"/>
          <w:b/>
          <w:bCs/>
          <w:noProof/>
          <w:sz w:val="24"/>
          <w:szCs w:val="24"/>
          <w:lang w:val="ru-RU" w:eastAsia="uk-UA"/>
        </w:rPr>
        <w:t> </w:t>
      </w:r>
      <w:r w:rsidR="00FE4FD3" w:rsidRPr="00AE54D6">
        <w:rPr>
          <w:rFonts w:eastAsia="Times New Roman"/>
          <w:b/>
          <w:bCs/>
          <w:noProof/>
          <w:sz w:val="24"/>
          <w:szCs w:val="24"/>
          <w:lang w:val="ru-RU" w:eastAsia="uk-UA"/>
        </w:rPr>
        <w:t>"</w:t>
      </w:r>
      <w:r w:rsidRPr="00AE54D6">
        <w:rPr>
          <w:b/>
          <w:bCs/>
          <w:noProof/>
          <w:sz w:val="24"/>
          <w:szCs w:val="24"/>
          <w:lang w:val="ru-RU"/>
        </w:rPr>
        <w:t xml:space="preserve"> Правові основи фінансового менеджменту</w:t>
      </w:r>
      <w:r w:rsidRPr="00FE4FD3">
        <w:rPr>
          <w:rFonts w:eastAsia="Times New Roman"/>
          <w:b/>
          <w:bCs/>
          <w:noProof/>
          <w:sz w:val="24"/>
          <w:szCs w:val="24"/>
          <w:lang w:val="ru-RU" w:eastAsia="uk-UA"/>
        </w:rPr>
        <w:t xml:space="preserve"> "</w:t>
      </w:r>
    </w:p>
    <w:p w:rsidR="00224FDD" w:rsidRPr="00224FDD" w:rsidRDefault="00FE4FD3" w:rsidP="00224FDD">
      <w:pPr>
        <w:rPr>
          <w:rFonts w:cs="Arial"/>
          <w:lang w:val="ru-RU"/>
        </w:rPr>
      </w:pPr>
      <w:r>
        <w:br/>
      </w:r>
      <w:r w:rsidR="00224FDD">
        <w:br/>
      </w:r>
      <w:r w:rsidR="00224FDD" w:rsidRPr="00224FDD">
        <w:rPr>
          <w:rFonts w:cs="Arial"/>
          <w:lang w:val="ru-RU"/>
        </w:rPr>
        <w:t xml:space="preserve">1. Фінансова діяльність держави </w:t>
      </w:r>
    </w:p>
    <w:p w:rsidR="00224FDD" w:rsidRPr="00224FDD" w:rsidRDefault="00224FDD" w:rsidP="00224FDD">
      <w:pPr>
        <w:rPr>
          <w:rFonts w:cs="Arial"/>
          <w:lang w:val="ru-RU"/>
        </w:rPr>
      </w:pPr>
      <w:r w:rsidRPr="00224FDD">
        <w:rPr>
          <w:rFonts w:cs="Arial"/>
          <w:lang w:val="ru-RU"/>
        </w:rPr>
        <w:t xml:space="preserve">2. Фінансове право </w:t>
      </w:r>
    </w:p>
    <w:p w:rsidR="00224FDD" w:rsidRPr="00224FDD" w:rsidRDefault="00224FDD" w:rsidP="00224FDD">
      <w:pPr>
        <w:rPr>
          <w:rFonts w:cs="Arial"/>
          <w:lang w:val="ru-RU"/>
        </w:rPr>
      </w:pPr>
      <w:r w:rsidRPr="00224FDD">
        <w:rPr>
          <w:rFonts w:cs="Arial"/>
          <w:lang w:val="ru-RU"/>
        </w:rPr>
        <w:t xml:space="preserve">3. Державний фінансовий контроль </w:t>
      </w:r>
    </w:p>
    <w:p w:rsidR="00224FDD" w:rsidRPr="00224FDD" w:rsidRDefault="00224FDD" w:rsidP="00224FDD">
      <w:pPr>
        <w:rPr>
          <w:rFonts w:cs="Arial"/>
          <w:lang w:val="ru-RU"/>
        </w:rPr>
      </w:pPr>
      <w:r w:rsidRPr="00224FDD">
        <w:rPr>
          <w:rFonts w:cs="Arial"/>
          <w:lang w:val="ru-RU"/>
        </w:rPr>
        <w:t xml:space="preserve">4. Бюджетне право </w:t>
      </w:r>
    </w:p>
    <w:p w:rsidR="00224FDD" w:rsidRPr="00224FDD" w:rsidRDefault="00224FDD" w:rsidP="00224FDD">
      <w:pPr>
        <w:rPr>
          <w:rFonts w:cs="Arial"/>
          <w:lang w:val="ru-RU"/>
        </w:rPr>
      </w:pPr>
      <w:r w:rsidRPr="00224FDD">
        <w:rPr>
          <w:rFonts w:cs="Arial"/>
          <w:lang w:val="ru-RU"/>
        </w:rPr>
        <w:t xml:space="preserve">5. Правове регулювання державних і муніципальних доходів </w:t>
      </w:r>
    </w:p>
    <w:p w:rsidR="00224FDD" w:rsidRPr="00224FDD" w:rsidRDefault="00224FDD" w:rsidP="00224FDD">
      <w:pPr>
        <w:rPr>
          <w:rFonts w:cs="Arial"/>
          <w:lang w:val="ru-RU"/>
        </w:rPr>
      </w:pPr>
      <w:r w:rsidRPr="00224FDD">
        <w:rPr>
          <w:rFonts w:cs="Arial"/>
          <w:lang w:val="ru-RU"/>
        </w:rPr>
        <w:t xml:space="preserve">6. Податкове право </w:t>
      </w:r>
    </w:p>
    <w:p w:rsidR="00224FDD" w:rsidRPr="00224FDD" w:rsidRDefault="00224FDD" w:rsidP="00224FDD">
      <w:pPr>
        <w:rPr>
          <w:rFonts w:cs="Arial"/>
          <w:lang w:val="ru-RU"/>
        </w:rPr>
      </w:pPr>
      <w:r w:rsidRPr="00224FDD">
        <w:rPr>
          <w:rFonts w:cs="Arial"/>
          <w:lang w:val="ru-RU"/>
        </w:rPr>
        <w:t xml:space="preserve">7. Податки і збори </w:t>
      </w:r>
    </w:p>
    <w:p w:rsidR="00224FDD" w:rsidRPr="00224FDD" w:rsidRDefault="00224FDD" w:rsidP="00224FDD">
      <w:pPr>
        <w:rPr>
          <w:rFonts w:cs="Arial"/>
          <w:lang w:val="ru-RU"/>
        </w:rPr>
      </w:pPr>
      <w:r w:rsidRPr="00224FDD">
        <w:rPr>
          <w:rFonts w:cs="Arial"/>
          <w:lang w:val="ru-RU"/>
        </w:rPr>
        <w:t xml:space="preserve">8. Регіональні та місцеві податки </w:t>
      </w:r>
    </w:p>
    <w:p w:rsidR="00224FDD" w:rsidRPr="00224FDD" w:rsidRDefault="00224FDD" w:rsidP="00224FDD">
      <w:pPr>
        <w:rPr>
          <w:rFonts w:cs="Arial"/>
          <w:lang w:val="ru-RU"/>
        </w:rPr>
      </w:pPr>
      <w:r w:rsidRPr="00224FDD">
        <w:rPr>
          <w:rFonts w:cs="Arial"/>
          <w:lang w:val="ru-RU"/>
        </w:rPr>
        <w:t>9. Правове регулювання державного кредиту</w:t>
      </w:r>
    </w:p>
    <w:p w:rsidR="00224FDD" w:rsidRPr="00224FDD" w:rsidRDefault="00224FDD" w:rsidP="00224FDD">
      <w:pPr>
        <w:spacing w:line="360" w:lineRule="auto"/>
        <w:rPr>
          <w:rFonts w:cs="Arial"/>
          <w:lang w:val="ru-RU"/>
        </w:rPr>
      </w:pPr>
      <w:r w:rsidRPr="00224FDD">
        <w:rPr>
          <w:rFonts w:cs="Arial"/>
          <w:lang w:val="ru-RU"/>
        </w:rPr>
        <w:t>10. Страхове право</w:t>
      </w:r>
      <w:r w:rsidRPr="00224FDD">
        <w:rPr>
          <w:rFonts w:cs="Arial"/>
          <w:lang w:val="ru-RU"/>
        </w:rPr>
        <w:br/>
        <w:t xml:space="preserve">11. Правове регулювання державних витрат </w:t>
      </w:r>
    </w:p>
    <w:p w:rsidR="00224FDD" w:rsidRPr="00224FDD" w:rsidRDefault="00224FDD" w:rsidP="00224FDD">
      <w:pPr>
        <w:rPr>
          <w:rFonts w:cs="Arial"/>
          <w:lang w:val="ru-RU"/>
        </w:rPr>
      </w:pPr>
      <w:r w:rsidRPr="00224FDD">
        <w:rPr>
          <w:rFonts w:cs="Arial"/>
          <w:lang w:val="ru-RU"/>
        </w:rPr>
        <w:t>12. Фінансово-правове регулювання банківської діяльності</w:t>
      </w:r>
    </w:p>
    <w:p w:rsidR="00224FDD" w:rsidRPr="00224FDD" w:rsidRDefault="00224FDD" w:rsidP="00224FDD">
      <w:pPr>
        <w:rPr>
          <w:rFonts w:cs="Arial"/>
          <w:lang w:val="ru-RU"/>
        </w:rPr>
      </w:pPr>
      <w:r w:rsidRPr="00224FDD">
        <w:rPr>
          <w:rFonts w:cs="Arial"/>
          <w:lang w:val="ru-RU"/>
        </w:rPr>
        <w:t xml:space="preserve">13. Правове забезпечення та регулювання ринку цінних паперів </w:t>
      </w:r>
    </w:p>
    <w:p w:rsidR="00224FDD" w:rsidRPr="00224FDD" w:rsidRDefault="00224FDD" w:rsidP="00224FDD">
      <w:pPr>
        <w:rPr>
          <w:rFonts w:cs="Arial"/>
          <w:lang w:val="ru-RU"/>
        </w:rPr>
      </w:pPr>
      <w:r w:rsidRPr="00224FDD">
        <w:rPr>
          <w:rFonts w:cs="Arial"/>
          <w:lang w:val="ru-RU"/>
        </w:rPr>
        <w:t xml:space="preserve">14. Фінансово-правове регулювання грошової системи </w:t>
      </w:r>
    </w:p>
    <w:p w:rsidR="00224FDD" w:rsidRPr="00224FDD" w:rsidRDefault="00224FDD" w:rsidP="00224FDD">
      <w:pPr>
        <w:rPr>
          <w:rFonts w:cs="Arial"/>
          <w:lang w:val="ru-RU"/>
        </w:rPr>
      </w:pPr>
      <w:r w:rsidRPr="00224FDD">
        <w:rPr>
          <w:rFonts w:cs="Arial"/>
          <w:lang w:val="ru-RU"/>
        </w:rPr>
        <w:t xml:space="preserve">15. Правове регулювання грошового обороту і розрахунків </w:t>
      </w:r>
    </w:p>
    <w:p w:rsidR="00224FDD" w:rsidRPr="00224FDD" w:rsidRDefault="00224FDD" w:rsidP="00224FDD">
      <w:pPr>
        <w:rPr>
          <w:rFonts w:cs="Arial"/>
          <w:lang w:val="ru-RU"/>
        </w:rPr>
      </w:pPr>
      <w:r w:rsidRPr="00224FDD">
        <w:rPr>
          <w:rFonts w:cs="Arial"/>
          <w:lang w:val="ru-RU"/>
        </w:rPr>
        <w:t xml:space="preserve">16. Інвестиційне право </w:t>
      </w:r>
    </w:p>
    <w:p w:rsidR="00224FDD" w:rsidRPr="00224FDD" w:rsidRDefault="00224FDD" w:rsidP="00224FDD">
      <w:pPr>
        <w:rPr>
          <w:rFonts w:cs="Arial"/>
          <w:lang w:val="ru-RU"/>
        </w:rPr>
      </w:pPr>
      <w:r w:rsidRPr="00224FDD">
        <w:rPr>
          <w:rFonts w:cs="Arial"/>
          <w:lang w:val="ru-RU"/>
        </w:rPr>
        <w:t xml:space="preserve">17. Основи валютного права </w:t>
      </w:r>
    </w:p>
    <w:p w:rsidR="00224FDD" w:rsidRPr="00224FDD" w:rsidRDefault="00224FDD" w:rsidP="00224FDD">
      <w:pPr>
        <w:rPr>
          <w:rFonts w:cs="Arial"/>
          <w:lang w:val="ru-RU"/>
        </w:rPr>
      </w:pPr>
      <w:r w:rsidRPr="00224FDD">
        <w:rPr>
          <w:rFonts w:cs="Arial"/>
          <w:lang w:val="ru-RU"/>
        </w:rPr>
        <w:t>18. Правові основи бухгалтерського обліку</w:t>
      </w:r>
    </w:p>
    <w:sectPr w:rsidR="00224FDD" w:rsidRPr="00224FDD" w:rsidSect="006961B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FE4FD3"/>
    <w:rsid w:val="00224FDD"/>
    <w:rsid w:val="002A62A2"/>
    <w:rsid w:val="006961B5"/>
    <w:rsid w:val="00973289"/>
    <w:rsid w:val="00AE54D6"/>
    <w:rsid w:val="00FE4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E54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E54D6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4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477</Words>
  <Characters>272</Characters>
  <Application>Microsoft Office Word</Application>
  <DocSecurity>0</DocSecurity>
  <Lines>2</Lines>
  <Paragraphs>1</Paragraphs>
  <ScaleCrop>false</ScaleCrop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</dc:creator>
  <cp:lastModifiedBy>yulia</cp:lastModifiedBy>
  <cp:revision>3</cp:revision>
  <dcterms:created xsi:type="dcterms:W3CDTF">2019-02-25T13:33:00Z</dcterms:created>
  <dcterms:modified xsi:type="dcterms:W3CDTF">2019-02-25T14:19:00Z</dcterms:modified>
</cp:coreProperties>
</file>