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D4" w:rsidRDefault="001602D4" w:rsidP="001602D4">
      <w:pPr>
        <w:jc w:val="center"/>
        <w:rPr>
          <w:rFonts w:eastAsia="Times New Roman"/>
          <w:b/>
          <w:bCs/>
          <w:noProof/>
          <w:sz w:val="24"/>
          <w:szCs w:val="24"/>
          <w:lang w:val="en-US" w:eastAsia="uk-UA"/>
        </w:rPr>
      </w:pPr>
      <w:r>
        <w:br/>
      </w:r>
    </w:p>
    <w:p w:rsidR="001602D4" w:rsidRDefault="001602D4" w:rsidP="001602D4">
      <w:pPr>
        <w:jc w:val="center"/>
        <w:rPr>
          <w:rFonts w:eastAsia="Times New Roman"/>
          <w:b/>
          <w:bCs/>
          <w:noProof/>
          <w:sz w:val="24"/>
          <w:szCs w:val="24"/>
          <w:lang w:val="en-US" w:eastAsia="uk-UA"/>
        </w:rPr>
      </w:pPr>
      <w:r>
        <w:rPr>
          <w:rFonts w:eastAsia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-295910</wp:posOffset>
            </wp:positionV>
            <wp:extent cx="914400" cy="1066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02D4">
        <w:rPr>
          <w:rFonts w:eastAsia="Times New Roman"/>
          <w:b/>
          <w:bCs/>
          <w:noProof/>
          <w:sz w:val="24"/>
          <w:szCs w:val="24"/>
          <w:lang w:eastAsia="uk-UA"/>
        </w:rPr>
        <w:t>СЕРТИФІКОВАНИ</w:t>
      </w:r>
      <w:r w:rsidR="00621FB4">
        <w:rPr>
          <w:rFonts w:eastAsia="Times New Roman"/>
          <w:b/>
          <w:bCs/>
          <w:noProof/>
          <w:sz w:val="24"/>
          <w:szCs w:val="24"/>
          <w:lang w:eastAsia="uk-UA"/>
        </w:rPr>
        <w:t>Й ПРОФЕСІЙНИЙ ВНУТРІШНІЙ АУДИТ</w:t>
      </w:r>
      <w:r w:rsidRPr="001602D4">
        <w:rPr>
          <w:rFonts w:eastAsia="Times New Roman"/>
          <w:b/>
          <w:bCs/>
          <w:noProof/>
          <w:sz w:val="24"/>
          <w:szCs w:val="24"/>
          <w:lang w:eastAsia="uk-UA"/>
        </w:rPr>
        <w:t xml:space="preserve"> </w:t>
      </w:r>
    </w:p>
    <w:p w:rsidR="001602D4" w:rsidRPr="001602D4" w:rsidRDefault="001602D4" w:rsidP="001602D4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/>
          <w:bCs/>
          <w:noProof/>
          <w:sz w:val="24"/>
          <w:szCs w:val="24"/>
          <w:lang w:eastAsia="uk-UA"/>
        </w:rPr>
        <w:t xml:space="preserve">Підготовка за програмою </w:t>
      </w:r>
    </w:p>
    <w:p w:rsidR="00E83F85" w:rsidRPr="001602D4" w:rsidRDefault="001602D4" w:rsidP="001602D4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/>
          <w:bCs/>
          <w:noProof/>
          <w:sz w:val="24"/>
          <w:szCs w:val="24"/>
          <w:lang w:eastAsia="uk-UA"/>
        </w:rPr>
        <w:t>«Внутрішній аудит», IСFM (СPIA) Великобританія</w:t>
      </w:r>
    </w:p>
    <w:p w:rsidR="001602D4" w:rsidRDefault="001602D4" w:rsidP="001602D4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</w:p>
    <w:p w:rsidR="007C6229" w:rsidRPr="007C6229" w:rsidRDefault="007C6229" w:rsidP="001602D4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</w:p>
    <w:p w:rsidR="001602D4" w:rsidRDefault="001602D4" w:rsidP="001602D4">
      <w:pPr>
        <w:rPr>
          <w:rFonts w:eastAsia="Times New Roman"/>
          <w:b/>
          <w:bCs/>
          <w:noProof/>
          <w:sz w:val="24"/>
          <w:szCs w:val="24"/>
          <w:lang w:val="en-US" w:eastAsia="uk-UA"/>
        </w:rPr>
      </w:pPr>
      <w:r w:rsidRPr="001602D4">
        <w:rPr>
          <w:rFonts w:eastAsia="Times New Roman"/>
          <w:b/>
          <w:bCs/>
          <w:noProof/>
          <w:sz w:val="24"/>
          <w:szCs w:val="24"/>
          <w:lang w:eastAsia="uk-UA"/>
        </w:rPr>
        <w:t>Тема 1. Зовнішнє регулювання внутрішнього аудиту:</w:t>
      </w:r>
    </w:p>
    <w:p w:rsidR="001602D4" w:rsidRDefault="001602D4" w:rsidP="001602D4">
      <w:pPr>
        <w:rPr>
          <w:rFonts w:eastAsia="Times New Roman"/>
          <w:bCs/>
          <w:noProof/>
          <w:sz w:val="24"/>
          <w:szCs w:val="24"/>
          <w:lang w:val="en-US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1.1. Кодекс професійної етики внутрішнього аудитора;</w:t>
      </w:r>
    </w:p>
    <w:p w:rsidR="001602D4" w:rsidRDefault="001602D4" w:rsidP="001602D4">
      <w:pPr>
        <w:rPr>
          <w:rFonts w:eastAsia="Times New Roman"/>
          <w:bCs/>
          <w:noProof/>
          <w:sz w:val="24"/>
          <w:szCs w:val="24"/>
          <w:lang w:val="en-US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1.2. Призначення і цілі міжнародних стандартів внутрішнього аудиту;</w:t>
      </w:r>
    </w:p>
    <w:p w:rsidR="001602D4" w:rsidRP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1.3. Основні цілі міжнародних стандартів внутрішнього аудиту та їх класифікація;</w:t>
      </w:r>
    </w:p>
    <w:p w:rsid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1.4. Стандарти якісних характеристик і стандарти діяльності. Зміст і застосування.</w:t>
      </w:r>
    </w:p>
    <w:p w:rsidR="001602D4" w:rsidRPr="001602D4" w:rsidRDefault="001602D4" w:rsidP="001602D4">
      <w:pPr>
        <w:rPr>
          <w:rFonts w:eastAsia="Times New Roman"/>
          <w:b/>
          <w:bCs/>
          <w:noProof/>
          <w:sz w:val="24"/>
          <w:szCs w:val="24"/>
          <w:lang w:val="en-US" w:eastAsia="uk-UA"/>
        </w:rPr>
      </w:pPr>
      <w:r w:rsidRPr="001602D4">
        <w:rPr>
          <w:rFonts w:eastAsia="Times New Roman"/>
          <w:b/>
          <w:bCs/>
          <w:noProof/>
          <w:sz w:val="24"/>
          <w:szCs w:val="24"/>
          <w:lang w:val="en-US" w:eastAsia="uk-UA"/>
        </w:rPr>
        <w:t>Тема 2. Формування, регулювання і управління службою внутрішнього аудиту:</w:t>
      </w:r>
    </w:p>
    <w:p w:rsidR="001602D4" w:rsidRP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2.1. Проблеми та етапи формування служби внутрішнього аудиту;</w:t>
      </w:r>
    </w:p>
    <w:p w:rsidR="001602D4" w:rsidRP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2.2. Внутрішня нормативна база регулювання роботи СВА;</w:t>
      </w:r>
    </w:p>
    <w:p w:rsidR="001602D4" w:rsidRP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2.3. Структура і зміст «Положення про СВА»;</w:t>
      </w:r>
    </w:p>
    <w:p w:rsidR="001602D4" w:rsidRP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2.4. Основні вимоги до сучасної системи управління;</w:t>
      </w:r>
    </w:p>
    <w:p w:rsidR="001602D4" w:rsidRP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2.5. Планування роботи і звітність СВА. Звітність її штатного персоналу;</w:t>
      </w:r>
    </w:p>
    <w:p w:rsidR="001602D4" w:rsidRP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2.6. Функції системи управління: організація управління СВА, управління штатним персоналом, координація;</w:t>
      </w:r>
    </w:p>
    <w:p w:rsid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2.7. Процес планування перевірки;</w:t>
      </w:r>
    </w:p>
    <w:p w:rsidR="001602D4" w:rsidRP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2.8. Характеристики попереднього етапу планування, загального плану і програми;</w:t>
      </w:r>
    </w:p>
    <w:p w:rsidR="001602D4" w:rsidRP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2.9. Організація документування ходу перевірок та їх результатів;</w:t>
      </w:r>
    </w:p>
    <w:p w:rsidR="001602D4" w:rsidRP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2.10. Структура і зміст Завершальний документів за результатами перевірки;</w:t>
      </w:r>
    </w:p>
    <w:p w:rsidR="001602D4" w:rsidRP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2.11. Організація подальшого контролю усунення виявлених недоліків;</w:t>
      </w:r>
    </w:p>
    <w:p w:rsidR="001602D4" w:rsidRP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>
        <w:rPr>
          <w:rFonts w:eastAsia="Times New Roman"/>
          <w:bCs/>
          <w:noProof/>
          <w:sz w:val="24"/>
          <w:szCs w:val="24"/>
          <w:lang w:val="ru-RU" w:eastAsia="uk-UA"/>
        </w:rPr>
        <w:t>2.12.Основні</w:t>
      </w: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 xml:space="preserve"> підходи до формування системи показників ефективності роботи СВА;</w:t>
      </w:r>
    </w:p>
    <w:p w:rsidR="001602D4" w:rsidRP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2.13. Система оцінки по укрупненими показниками. Деталізація показники оцінки роботи СВА;</w:t>
      </w:r>
    </w:p>
    <w:p w:rsid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1602D4">
        <w:rPr>
          <w:rFonts w:eastAsia="Times New Roman"/>
          <w:bCs/>
          <w:noProof/>
          <w:sz w:val="24"/>
          <w:szCs w:val="24"/>
          <w:lang w:val="ru-RU" w:eastAsia="uk-UA"/>
        </w:rPr>
        <w:t>2.14. Система динамічних коефіцієнтів.</w:t>
      </w:r>
    </w:p>
    <w:p w:rsidR="007C6229" w:rsidRDefault="007C6229" w:rsidP="001602D4">
      <w:pPr>
        <w:rPr>
          <w:rFonts w:eastAsia="Times New Roman"/>
          <w:b/>
          <w:bCs/>
          <w:noProof/>
          <w:sz w:val="24"/>
          <w:szCs w:val="24"/>
          <w:lang w:val="ru-RU" w:eastAsia="uk-UA"/>
        </w:rPr>
      </w:pPr>
    </w:p>
    <w:p w:rsidR="001602D4" w:rsidRPr="007C6229" w:rsidRDefault="001602D4" w:rsidP="001602D4">
      <w:pPr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/>
          <w:bCs/>
          <w:noProof/>
          <w:sz w:val="24"/>
          <w:szCs w:val="24"/>
          <w:lang w:val="ru-RU" w:eastAsia="uk-UA"/>
        </w:rPr>
        <w:t>Тема 3. Внутрішні ризики в економічному суб'єкті:</w:t>
      </w:r>
    </w:p>
    <w:p w:rsidR="001602D4" w:rsidRPr="007C6229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3.1. Основи управління ризиками в економічних суб'єктах. Поняття і функції ризику;</w:t>
      </w:r>
    </w:p>
    <w:p w:rsidR="001602D4" w:rsidRPr="007C6229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3.2. Визначення поняття «значимість ризику» і формула її розрахунку;</w:t>
      </w:r>
    </w:p>
    <w:p w:rsidR="001602D4" w:rsidRPr="007C6229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3.3. Призначення класифікацій ризиків. Класифікація «Міжнародної асоціації фахівців з управління ризиками». Класифікації для виявлення можливих сфер появи ризиків і для визначення їх власників;</w:t>
      </w:r>
    </w:p>
    <w:p w:rsidR="001602D4" w:rsidRPr="007C6229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3.4. Принципи планування ризик - орієнтованих напрямків внутрішнього аудиту і контролю;</w:t>
      </w:r>
    </w:p>
    <w:p w:rsidR="001602D4" w:rsidRDefault="001602D4" w:rsidP="001602D4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3.5. Основні напрямки попереднього, поточного і наступного контролю на індивідуальному рівні, мікро рівні і макро рівні в економічних суб'єктах.</w:t>
      </w:r>
    </w:p>
    <w:p w:rsidR="007C6229" w:rsidRPr="007C6229" w:rsidRDefault="007C6229" w:rsidP="007C6229">
      <w:pPr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/>
          <w:bCs/>
          <w:noProof/>
          <w:sz w:val="24"/>
          <w:szCs w:val="24"/>
          <w:lang w:val="ru-RU" w:eastAsia="uk-UA"/>
        </w:rPr>
        <w:t>Тема 4. Управління ризиками СВА: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4.1. Сучасне розуміння управління ризиками в економічному суб'єкті (ризик-менеджмент). Поняття «ризик-апетиту»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4.2. Основні вимоги до процесу управління ризиками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4.3. Інтеграція управління ризиками в загальну систему управління економічним суб'єктом;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4.4. Стандартизація та основні методи управління ризиками. Основні методи організації системи управління ризиками;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4.5. Зміст і застосування моделі управління ризиками «COSO». Її сутність;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4.6. Експертний метод якісної оцінки ризиків, критерії та їх оцінки;</w:t>
      </w:r>
    </w:p>
    <w:p w:rsid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4.7. Методика якісної оцінки ризиків. Методи «Простий опитування», «Дельфи» і «Мозгового штурму». Організація їх проведення і сфери застосування;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4.8. Можливості кількісної оцінки ризиків. Моделі «Теорії ігор», «Теорії черг», «Управління запасами». Їх переваги і недоліки;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4.9. Виявлення ризиків СВА;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4.10. Класифікація ризиків по зв'язках з конкретним бізнес-процесом внутрішнього аудиту;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4.11. Взаємовплив ризиків СВА один на одного;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4.12. Ризики процесів внутрішнього аудиту професійної діяльності та ризику процесів, супутніх професійної діяльності СВА;</w:t>
      </w:r>
    </w:p>
    <w:p w:rsid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4.13. Список типових ризиків бізнес-процесу «Внутрішній аудит».</w:t>
      </w:r>
    </w:p>
    <w:p w:rsid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</w:p>
    <w:p w:rsid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</w:p>
    <w:p w:rsid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</w:p>
    <w:p w:rsidR="007C6229" w:rsidRPr="007C6229" w:rsidRDefault="007C6229" w:rsidP="007C6229">
      <w:pPr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/>
          <w:bCs/>
          <w:noProof/>
          <w:sz w:val="24"/>
          <w:szCs w:val="24"/>
          <w:lang w:val="ru-RU" w:eastAsia="uk-UA"/>
        </w:rPr>
        <w:t>Тема 5. Особливості управління та функціонування СВА в корпораціях: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5.1. Роль Комітету з аудиту при Раді директорів в організації роботи СПК економічного суб'єкта. Основна мета його діяльності, їх функції та оцінити потреби;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5.2. Особливості діяльності СВА в корпораціях. Особливості критеріїв оцінки її діяльності;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5.3. Взаємодія СВА з незалежним зовнішнім аудитом при його роботі в економічному суб'єкті. Сутність процесу взаємодії і його етапи;</w:t>
      </w:r>
    </w:p>
    <w:p w:rsid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5.4. Основні напрямки взаємодії. Можливі рівні взаємодії внутрішнього і зовнішнього аудиту;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5.5. Критерії для вибору аудиторської організації та індивідуального аудитора для проведення щорічного обов'язкового аудиту бухгалтерської (фінансової) звітності;</w:t>
      </w:r>
    </w:p>
    <w:p w:rsid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5.6. Роль Комітету з аудиту при Раді директорів в організації.</w:t>
      </w:r>
    </w:p>
    <w:p w:rsidR="007C6229" w:rsidRPr="007C6229" w:rsidRDefault="007C6229" w:rsidP="007C6229">
      <w:pPr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/>
          <w:bCs/>
          <w:noProof/>
          <w:sz w:val="24"/>
          <w:szCs w:val="24"/>
          <w:lang w:val="ru-RU" w:eastAsia="uk-UA"/>
        </w:rPr>
        <w:t>Тема 6. Застосування системи «Директ - костинг» в практиці внутрішнього аудиту: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6.1. Сутність системи «Директ - костинг». Методика аналізу «витрати-обсяг-прибуток»;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6.2. Основне рівняння знаходження критичної точки;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6.3. Обмежують критерії його використання. Лінійна апроксимація і релевантний рівень;</w:t>
      </w:r>
    </w:p>
    <w:p w:rsidR="007C6229" w:rsidRPr="007C6229" w:rsidRDefault="007C6229" w:rsidP="007C6229">
      <w:pPr>
        <w:rPr>
          <w:rFonts w:eastAsia="Times New Roman"/>
          <w:bCs/>
          <w:noProof/>
          <w:sz w:val="24"/>
          <w:szCs w:val="24"/>
          <w:lang w:val="ru-RU" w:eastAsia="uk-UA"/>
        </w:rPr>
      </w:pPr>
      <w:r w:rsidRPr="007C6229">
        <w:rPr>
          <w:rFonts w:eastAsia="Times New Roman"/>
          <w:bCs/>
          <w:noProof/>
          <w:sz w:val="24"/>
          <w:szCs w:val="24"/>
          <w:lang w:val="ru-RU" w:eastAsia="uk-UA"/>
        </w:rPr>
        <w:t>6.4. Проблеми у формуванні інформаційної бази проведених розрахунків. Приклади типових завдань, що вирішуються внутрішніми аудиторами методом «витрати-обсяг-прибуток».</w:t>
      </w:r>
    </w:p>
    <w:sectPr w:rsidR="007C6229" w:rsidRPr="007C6229" w:rsidSect="00E83F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02D4"/>
    <w:rsid w:val="001602D4"/>
    <w:rsid w:val="00621FB4"/>
    <w:rsid w:val="007C6229"/>
    <w:rsid w:val="00E8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0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2D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2857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2019-09-25T13:37:00Z</dcterms:created>
  <dcterms:modified xsi:type="dcterms:W3CDTF">2019-09-25T14:17:00Z</dcterms:modified>
</cp:coreProperties>
</file>