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64" w:rsidRPr="00482964" w:rsidRDefault="00482964" w:rsidP="00482964">
      <w:pPr>
        <w:jc w:val="center"/>
        <w:rPr>
          <w:rFonts w:eastAsia="Times New Roman"/>
          <w:b/>
          <w:bCs/>
          <w:noProof/>
          <w:sz w:val="24"/>
          <w:szCs w:val="24"/>
          <w:lang w:eastAsia="uk-UA"/>
        </w:rPr>
      </w:pPr>
      <w:r>
        <w:rPr>
          <w:noProof/>
          <w:color w:val="222222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-149225</wp:posOffset>
            </wp:positionV>
            <wp:extent cx="914400" cy="10668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1AD6">
        <w:rPr>
          <w:color w:val="222222"/>
        </w:rPr>
        <w:br/>
      </w:r>
      <w:bookmarkStart w:id="0" w:name="_GoBack"/>
      <w:bookmarkEnd w:id="0"/>
      <w:r w:rsidR="00F71AD6" w:rsidRPr="00482964">
        <w:rPr>
          <w:rFonts w:eastAsia="Times New Roman"/>
          <w:b/>
          <w:bCs/>
          <w:noProof/>
          <w:sz w:val="24"/>
          <w:szCs w:val="24"/>
          <w:lang w:eastAsia="uk-UA"/>
        </w:rPr>
        <w:t>СЕРТИФИЦИРОВАННЫЙ ПРО</w:t>
      </w:r>
      <w:r w:rsidR="001B758A">
        <w:rPr>
          <w:rFonts w:eastAsia="Times New Roman"/>
          <w:b/>
          <w:bCs/>
          <w:noProof/>
          <w:sz w:val="24"/>
          <w:szCs w:val="24"/>
          <w:lang w:eastAsia="uk-UA"/>
        </w:rPr>
        <w:t>ФЕССИОНАЛЬНЫЙ ВНУТРЕННИЙ АУДИТ</w:t>
      </w:r>
      <w:r w:rsidR="00F71AD6" w:rsidRPr="00482964">
        <w:rPr>
          <w:rFonts w:eastAsia="Times New Roman"/>
          <w:b/>
          <w:bCs/>
          <w:noProof/>
          <w:sz w:val="24"/>
          <w:szCs w:val="24"/>
          <w:lang w:eastAsia="uk-UA"/>
        </w:rPr>
        <w:br/>
        <w:t xml:space="preserve">Подготовка по программе </w:t>
      </w:r>
    </w:p>
    <w:p w:rsidR="00482964" w:rsidRPr="00482964" w:rsidRDefault="00F71AD6" w:rsidP="00482964">
      <w:pPr>
        <w:jc w:val="center"/>
        <w:rPr>
          <w:color w:val="222222"/>
          <w:lang w:val="en-US"/>
        </w:rPr>
      </w:pPr>
      <w:r w:rsidRPr="00482964">
        <w:rPr>
          <w:rFonts w:eastAsia="Times New Roman"/>
          <w:b/>
          <w:bCs/>
          <w:noProof/>
          <w:sz w:val="24"/>
          <w:szCs w:val="24"/>
          <w:lang w:eastAsia="uk-UA"/>
        </w:rPr>
        <w:t>«Внутренний аудит», IСFM (СPIA) Великобритания</w:t>
      </w:r>
      <w:r>
        <w:rPr>
          <w:rStyle w:val="a3"/>
          <w:color w:val="222222"/>
          <w:shd w:val="clear" w:color="auto" w:fill="FBFBF9"/>
        </w:rPr>
        <w:t> </w:t>
      </w:r>
      <w:r>
        <w:rPr>
          <w:color w:val="222222"/>
        </w:rPr>
        <w:br/>
      </w:r>
    </w:p>
    <w:p w:rsidR="003629B0" w:rsidRPr="00482964" w:rsidRDefault="00F71AD6" w:rsidP="00482964">
      <w:pPr>
        <w:rPr>
          <w:b/>
          <w:bCs/>
          <w:color w:val="222222"/>
          <w:shd w:val="clear" w:color="auto" w:fill="FBFBF9"/>
        </w:rPr>
      </w:pPr>
      <w:r>
        <w:rPr>
          <w:color w:val="222222"/>
        </w:rPr>
        <w:br/>
      </w:r>
      <w:r w:rsidRPr="00482964">
        <w:rPr>
          <w:rFonts w:eastAsia="Calibri" w:cs="Times New Roman"/>
          <w:b/>
          <w:sz w:val="24"/>
          <w:szCs w:val="24"/>
          <w:lang w:val="ru-RU" w:eastAsia="ru-RU"/>
        </w:rPr>
        <w:t>Тема 1. Внешнее</w:t>
      </w:r>
      <w:r w:rsidR="00482964" w:rsidRPr="00482964">
        <w:rPr>
          <w:rFonts w:eastAsia="Calibri" w:cs="Times New Roman"/>
          <w:b/>
          <w:sz w:val="24"/>
          <w:szCs w:val="24"/>
          <w:lang w:val="ru-RU" w:eastAsia="ru-RU"/>
        </w:rPr>
        <w:t xml:space="preserve"> </w:t>
      </w:r>
      <w:r w:rsidRPr="00482964">
        <w:rPr>
          <w:rFonts w:eastAsia="Calibri" w:cs="Times New Roman"/>
          <w:b/>
          <w:sz w:val="24"/>
          <w:szCs w:val="24"/>
          <w:lang w:val="ru-RU" w:eastAsia="ru-RU"/>
        </w:rPr>
        <w:t>регулирование</w:t>
      </w:r>
      <w:r w:rsidR="00482964" w:rsidRPr="00482964">
        <w:rPr>
          <w:rFonts w:eastAsia="Calibri" w:cs="Times New Roman"/>
          <w:b/>
          <w:sz w:val="24"/>
          <w:szCs w:val="24"/>
          <w:lang w:val="ru-RU" w:eastAsia="ru-RU"/>
        </w:rPr>
        <w:t xml:space="preserve"> </w:t>
      </w:r>
      <w:r w:rsidRPr="00482964">
        <w:rPr>
          <w:rFonts w:eastAsia="Calibri" w:cs="Times New Roman"/>
          <w:b/>
          <w:sz w:val="24"/>
          <w:szCs w:val="24"/>
          <w:lang w:val="ru-RU" w:eastAsia="ru-RU"/>
        </w:rPr>
        <w:t>внутреннего аудита:</w:t>
      </w:r>
      <w:r>
        <w:rPr>
          <w:color w:val="222222"/>
          <w:shd w:val="clear" w:color="auto" w:fill="FBFBF9"/>
        </w:rPr>
        <w:t> </w:t>
      </w:r>
      <w:r>
        <w:rPr>
          <w:color w:val="222222"/>
        </w:rPr>
        <w:br/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1.1. Кодекс профессиональной</w:t>
      </w:r>
      <w:r w:rsidR="00482964"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этики</w:t>
      </w:r>
      <w:r w:rsidR="00482964"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внутреннего аудитора;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1.2. Предназначение и цели</w:t>
      </w:r>
      <w:r w:rsidR="00482964" w:rsidRP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международных</w:t>
      </w:r>
      <w:r w:rsidR="00482964" w:rsidRP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стандартов</w:t>
      </w:r>
      <w:r w:rsidR="00482964" w:rsidRP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внутреннего аудита;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1.3. Основные</w:t>
      </w:r>
      <w:r w:rsidR="00F61B69" w:rsidRP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цели</w:t>
      </w:r>
      <w:r w:rsidR="00F61B69" w:rsidRP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международных</w:t>
      </w:r>
      <w:r w:rsidR="00F61B69" w:rsidRP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стандартов</w:t>
      </w:r>
      <w:r w:rsidR="00F61B69" w:rsidRP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внутреннего аудита и их</w:t>
      </w:r>
      <w:r w:rsidR="00F61B69" w:rsidRP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классификация;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1.4. Стандарты</w:t>
      </w:r>
      <w:r w:rsidR="00F61B69" w:rsidRP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качественных характеристик и стандарты</w:t>
      </w:r>
      <w:r w:rsidR="001B758A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деятельности. Содержание и применение. 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</w:r>
      <w:r w:rsidRPr="00482964">
        <w:rPr>
          <w:rFonts w:eastAsia="Calibri" w:cs="Times New Roman"/>
          <w:b/>
          <w:bCs/>
          <w:sz w:val="24"/>
          <w:szCs w:val="24"/>
          <w:lang w:val="ru-RU" w:eastAsia="ru-RU"/>
        </w:rPr>
        <w:t>Тема 2. Формирование, регулирование и управление</w:t>
      </w:r>
      <w:r w:rsidR="00F61B69">
        <w:rPr>
          <w:rFonts w:eastAsia="Calibri" w:cs="Times New Roman"/>
          <w:b/>
          <w:bCs/>
          <w:sz w:val="24"/>
          <w:szCs w:val="24"/>
          <w:lang w:val="ru-RU" w:eastAsia="ru-RU"/>
        </w:rPr>
        <w:t xml:space="preserve"> </w:t>
      </w:r>
      <w:r w:rsidRPr="00482964">
        <w:rPr>
          <w:rFonts w:eastAsia="Calibri" w:cs="Times New Roman"/>
          <w:b/>
          <w:bCs/>
          <w:sz w:val="24"/>
          <w:szCs w:val="24"/>
          <w:lang w:val="ru-RU" w:eastAsia="ru-RU"/>
        </w:rPr>
        <w:t>службой</w:t>
      </w:r>
      <w:r w:rsidR="00F61B69">
        <w:rPr>
          <w:rFonts w:eastAsia="Calibri" w:cs="Times New Roman"/>
          <w:b/>
          <w:bCs/>
          <w:sz w:val="24"/>
          <w:szCs w:val="24"/>
          <w:lang w:val="ru-RU" w:eastAsia="ru-RU"/>
        </w:rPr>
        <w:t xml:space="preserve"> </w:t>
      </w:r>
      <w:r w:rsidRPr="00482964">
        <w:rPr>
          <w:rFonts w:eastAsia="Calibri" w:cs="Times New Roman"/>
          <w:b/>
          <w:bCs/>
          <w:sz w:val="24"/>
          <w:szCs w:val="24"/>
          <w:lang w:val="ru-RU" w:eastAsia="ru-RU"/>
        </w:rPr>
        <w:t>внутреннего аудита</w:t>
      </w:r>
      <w:r w:rsidRPr="00482964">
        <w:rPr>
          <w:rFonts w:eastAsia="Calibri" w:cs="Times New Roman"/>
          <w:b/>
          <w:sz w:val="24"/>
          <w:szCs w:val="24"/>
          <w:lang w:val="ru-RU" w:eastAsia="ru-RU"/>
        </w:rPr>
        <w:t>:</w:t>
      </w:r>
      <w:r>
        <w:rPr>
          <w:color w:val="222222"/>
        </w:rPr>
        <w:br/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2.1. Проблемы и этапы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формирования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службы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внутреннего аудита;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2.2. Внутренняя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нормативная база регулирования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работы СВА;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2.3. Структура и содержание «Положения об СВА»;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2.4. Основные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требования к современной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системе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управления;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2.5. Планирование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работы и отчетность СВА. Отчетность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ее штатного персонала;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2.6. Функции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системы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управления: организация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управления СВА, управление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штатным персоналом, координация;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2.7. Процесс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планирования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проверки;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2.8. Характеристики предварительного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этапа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планирования, общего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плана и программы;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2.9. Организация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документирования хода проверок и их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результатов;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2.10. Структура и содержание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завершающих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документов по результатам проверки;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2.11. Организация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последующего контроля устранения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выявленных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недостатков;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2.12.Основные подходы к формированию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системы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показателей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эффективности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работы СВА;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2.13. Система оценки по укрупненным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показателям. Детализирование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показатели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оценки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работы СВА;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2.14. Система динамических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коэффициентов. 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</w:r>
      <w:r>
        <w:rPr>
          <w:color w:val="222222"/>
        </w:rPr>
        <w:br/>
      </w:r>
      <w:r w:rsidRPr="00482964">
        <w:rPr>
          <w:rFonts w:eastAsia="Calibri" w:cs="Times New Roman"/>
          <w:b/>
          <w:bCs/>
          <w:sz w:val="24"/>
          <w:szCs w:val="24"/>
          <w:lang w:val="ru-RU" w:eastAsia="ru-RU"/>
        </w:rPr>
        <w:t>Тема 3. Внутренние риски в экономическом</w:t>
      </w:r>
      <w:r w:rsidR="00F61B69">
        <w:rPr>
          <w:rFonts w:eastAsia="Calibri" w:cs="Times New Roman"/>
          <w:b/>
          <w:bCs/>
          <w:sz w:val="24"/>
          <w:szCs w:val="24"/>
          <w:lang w:val="ru-RU" w:eastAsia="ru-RU"/>
        </w:rPr>
        <w:t xml:space="preserve"> </w:t>
      </w:r>
      <w:r w:rsidRPr="00482964">
        <w:rPr>
          <w:rFonts w:eastAsia="Calibri" w:cs="Times New Roman"/>
          <w:b/>
          <w:bCs/>
          <w:sz w:val="24"/>
          <w:szCs w:val="24"/>
          <w:lang w:val="ru-RU" w:eastAsia="ru-RU"/>
        </w:rPr>
        <w:t>субъекте:</w:t>
      </w:r>
      <w:r>
        <w:rPr>
          <w:color w:val="222222"/>
          <w:shd w:val="clear" w:color="auto" w:fill="FBFBF9"/>
        </w:rPr>
        <w:t> </w:t>
      </w:r>
      <w:r>
        <w:rPr>
          <w:color w:val="222222"/>
        </w:rPr>
        <w:br/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3.1. Основы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управления рисками в экономических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субъектах. Понятия и функции риска;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3.2. Определение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понятия «значимость риска» и формула ее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расчета;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3.3. Назначение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классификаций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рисков. Классификация «Международной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ассоциации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специалистов по управлению рисками». Классификации для выявления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возможных сфер появления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рисков и для определения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их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владельцев; 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3.4. Принципы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планирования риск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-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ориентированных направлений внутреннего аудита и контроля;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3.5. Основные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направления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предварительного, текущего и последующего контроля на индивидуальном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уровне, </w:t>
      </w:r>
      <w:proofErr w:type="gramStart"/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микро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уровне</w:t>
      </w:r>
      <w:proofErr w:type="gramEnd"/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и макро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уровне в экономических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субъектах. 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</w:r>
      <w:r>
        <w:rPr>
          <w:color w:val="222222"/>
        </w:rPr>
        <w:br/>
      </w:r>
      <w:r w:rsidRPr="00482964">
        <w:rPr>
          <w:rFonts w:eastAsia="Calibri" w:cs="Times New Roman"/>
          <w:b/>
          <w:sz w:val="24"/>
          <w:szCs w:val="24"/>
          <w:lang w:val="ru-RU" w:eastAsia="ru-RU"/>
        </w:rPr>
        <w:t>Тема 4. Управление рисками СВА:</w:t>
      </w:r>
      <w:r>
        <w:rPr>
          <w:color w:val="222222"/>
          <w:shd w:val="clear" w:color="auto" w:fill="FBFBF9"/>
        </w:rPr>
        <w:t> </w:t>
      </w:r>
      <w:r>
        <w:rPr>
          <w:color w:val="222222"/>
        </w:rPr>
        <w:br/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4.1. Современное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понимание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управления рисками в экономическом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субъекте (риск-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lastRenderedPageBreak/>
        <w:t>менеджмент). Понятие «риск-аппетита»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4.2. Основные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требования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к процессу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управления рисками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4.3. Интеграция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управления рисками в общую систему управления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экономическим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субъектом;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4.4. Стандартизация и основные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способы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управления рисками. Основные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методы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организации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системы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управления рисками;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4.5. Содержание и применение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модели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управления рисками «COSO». Ее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сущность;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4.6. Экспертный метод качественной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оценки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рисков, 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критерии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и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их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оценки;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4.7. Методика качественной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оценки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рисков. Методы «Простой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опрос», «</w:t>
      </w:r>
      <w:proofErr w:type="spellStart"/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Дельфи</w:t>
      </w:r>
      <w:proofErr w:type="spellEnd"/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» и «Мозгового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штурма». Организация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их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проведения и сферы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применения;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4.8. Возможности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количественной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оценки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рисков. Модели «Теории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игр», «Теории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очередей», «Управления запасами». Их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преимущества и недостатки;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4.9. Выявление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рисков СВА;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4.10. Классификация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рисков по связям с конкретным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бизнес-процессом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внутреннего аудита;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4.11. Взаимовлияние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рисков СВА друг на друга;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4.12. Риски процессов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внутреннего аудита профессиональной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деятельности и риски процессов, сопутствующих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профессиональной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деятельности СВА;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4.13. Перечень типовых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рисков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бизнес-процесса «Внутренний аудит». 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</w:r>
      <w:r>
        <w:rPr>
          <w:color w:val="222222"/>
        </w:rPr>
        <w:br/>
      </w:r>
      <w:r w:rsidRPr="00482964">
        <w:rPr>
          <w:rFonts w:eastAsia="Calibri" w:cs="Times New Roman"/>
          <w:b/>
          <w:bCs/>
          <w:sz w:val="24"/>
          <w:szCs w:val="24"/>
          <w:lang w:val="ru-RU" w:eastAsia="ru-RU"/>
        </w:rPr>
        <w:t>Тема 5.Особенности управления и функционирования СВА в корпорациях:</w:t>
      </w:r>
      <w:r>
        <w:rPr>
          <w:color w:val="222222"/>
          <w:shd w:val="clear" w:color="auto" w:fill="FBFBF9"/>
        </w:rPr>
        <w:t> </w:t>
      </w:r>
      <w:r>
        <w:rPr>
          <w:color w:val="222222"/>
        </w:rPr>
        <w:br/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5.1. Роль Комитета по аудиту при Совете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директоров в организации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работы СВК экономического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субъекта. Основная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цель его деятельности, выполняемые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функции и решаемые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задачи;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5.2. Особенности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деятельности СВА в корпорациях.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Особенности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критериев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оценки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ее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деятельности;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5.3. Взаимодействие СВА с независимым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внешним аудитом при его работе в экономическом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субъекте. Сущность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процесса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взаимодействия и его этапы;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5.4. Основные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направления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взаимодействия. Возможные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уровни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взаимодействия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 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внутреннего и внешнего аудита;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5.5. Критерии для выбора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аудиторской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организации и индивидуального аудитора для проведения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ежегодного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обязательного аудита бухгалтерской (финансовой) отчетности;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5.6. Роль Комитета по аудиту при Совете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директоров в организации. 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</w:r>
      <w:r>
        <w:rPr>
          <w:color w:val="222222"/>
        </w:rPr>
        <w:br/>
      </w:r>
      <w:r w:rsidRPr="00482964">
        <w:rPr>
          <w:rFonts w:eastAsia="Calibri" w:cs="Times New Roman"/>
          <w:b/>
          <w:sz w:val="24"/>
          <w:szCs w:val="24"/>
          <w:lang w:val="ru-RU" w:eastAsia="ru-RU"/>
        </w:rPr>
        <w:t>Тема 6. Применение</w:t>
      </w:r>
      <w:r w:rsidR="00F61B69">
        <w:rPr>
          <w:rFonts w:eastAsia="Calibri" w:cs="Times New Roman"/>
          <w:b/>
          <w:sz w:val="24"/>
          <w:szCs w:val="24"/>
          <w:lang w:val="ru-RU" w:eastAsia="ru-RU"/>
        </w:rPr>
        <w:t xml:space="preserve"> </w:t>
      </w:r>
      <w:r w:rsidRPr="00482964">
        <w:rPr>
          <w:rFonts w:eastAsia="Calibri" w:cs="Times New Roman"/>
          <w:b/>
          <w:sz w:val="24"/>
          <w:szCs w:val="24"/>
          <w:lang w:val="ru-RU" w:eastAsia="ru-RU"/>
        </w:rPr>
        <w:t>системы «</w:t>
      </w:r>
      <w:proofErr w:type="spellStart"/>
      <w:r w:rsidRPr="00482964">
        <w:rPr>
          <w:rFonts w:eastAsia="Calibri" w:cs="Times New Roman"/>
          <w:b/>
          <w:sz w:val="24"/>
          <w:szCs w:val="24"/>
          <w:lang w:val="ru-RU" w:eastAsia="ru-RU"/>
        </w:rPr>
        <w:t>Директ</w:t>
      </w:r>
      <w:proofErr w:type="spellEnd"/>
      <w:r w:rsidR="00F61B69">
        <w:rPr>
          <w:rFonts w:eastAsia="Calibri" w:cs="Times New Roman"/>
          <w:b/>
          <w:sz w:val="24"/>
          <w:szCs w:val="24"/>
          <w:lang w:val="ru-RU" w:eastAsia="ru-RU"/>
        </w:rPr>
        <w:t xml:space="preserve"> </w:t>
      </w:r>
      <w:r w:rsidRPr="00482964">
        <w:rPr>
          <w:rFonts w:eastAsia="Calibri" w:cs="Times New Roman"/>
          <w:b/>
          <w:sz w:val="24"/>
          <w:szCs w:val="24"/>
          <w:lang w:val="ru-RU" w:eastAsia="ru-RU"/>
        </w:rPr>
        <w:t>-</w:t>
      </w:r>
      <w:r w:rsidR="00F61B69">
        <w:rPr>
          <w:rFonts w:eastAsia="Calibri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482964">
        <w:rPr>
          <w:rFonts w:eastAsia="Calibri" w:cs="Times New Roman"/>
          <w:b/>
          <w:sz w:val="24"/>
          <w:szCs w:val="24"/>
          <w:lang w:val="ru-RU" w:eastAsia="ru-RU"/>
        </w:rPr>
        <w:t>Костинг</w:t>
      </w:r>
      <w:proofErr w:type="spellEnd"/>
      <w:r w:rsidRPr="00482964">
        <w:rPr>
          <w:rFonts w:eastAsia="Calibri" w:cs="Times New Roman"/>
          <w:b/>
          <w:sz w:val="24"/>
          <w:szCs w:val="24"/>
          <w:lang w:val="ru-RU" w:eastAsia="ru-RU"/>
        </w:rPr>
        <w:t>» в практике</w:t>
      </w:r>
      <w:r w:rsidR="00F61B69">
        <w:rPr>
          <w:rFonts w:eastAsia="Calibri" w:cs="Times New Roman"/>
          <w:b/>
          <w:sz w:val="24"/>
          <w:szCs w:val="24"/>
          <w:lang w:val="ru-RU" w:eastAsia="ru-RU"/>
        </w:rPr>
        <w:t xml:space="preserve"> </w:t>
      </w:r>
      <w:r w:rsidRPr="00482964">
        <w:rPr>
          <w:rFonts w:eastAsia="Calibri" w:cs="Times New Roman"/>
          <w:b/>
          <w:sz w:val="24"/>
          <w:szCs w:val="24"/>
          <w:lang w:val="ru-RU" w:eastAsia="ru-RU"/>
        </w:rPr>
        <w:t>внутреннего аудита:</w:t>
      </w:r>
      <w:r>
        <w:rPr>
          <w:color w:val="222222"/>
          <w:shd w:val="clear" w:color="auto" w:fill="FBFBF9"/>
        </w:rPr>
        <w:t> </w:t>
      </w:r>
      <w:r>
        <w:rPr>
          <w:color w:val="222222"/>
        </w:rPr>
        <w:br/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6.1. Сущность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системы «</w:t>
      </w:r>
      <w:proofErr w:type="spellStart"/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Директ</w:t>
      </w:r>
      <w:proofErr w:type="spellEnd"/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-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Костинг</w:t>
      </w:r>
      <w:proofErr w:type="spellEnd"/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». 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Методика анализа «</w:t>
      </w:r>
      <w:proofErr w:type="spellStart"/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Затраты-объем-прибыль</w:t>
      </w:r>
      <w:proofErr w:type="spellEnd"/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»;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6.2. Основное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уравнение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нахождения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критической точки;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6.3. Ограничивающие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критерии его использования. Линейная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аппроксимация и релевантный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уровень;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  <w:t>6.4. Проблемы в формировании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информационной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базы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проводимых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расчетов. Примеры</w:t>
      </w:r>
      <w:r w:rsidR="00F61B6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типовых задач, решаемых</w:t>
      </w:r>
      <w:r w:rsidR="004D110F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внутренними аудиторами методом «</w:t>
      </w:r>
      <w:proofErr w:type="spellStart"/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Затраты-объем-прибыль</w:t>
      </w:r>
      <w:proofErr w:type="spellEnd"/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t>». </w:t>
      </w:r>
      <w:r w:rsidRPr="00482964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</w:r>
    </w:p>
    <w:sectPr w:rsidR="003629B0" w:rsidRPr="00482964" w:rsidSect="004452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F1F"/>
    <w:rsid w:val="001B758A"/>
    <w:rsid w:val="002F77A0"/>
    <w:rsid w:val="003629B0"/>
    <w:rsid w:val="0044529C"/>
    <w:rsid w:val="00482964"/>
    <w:rsid w:val="004A0F1F"/>
    <w:rsid w:val="004D110F"/>
    <w:rsid w:val="00F61B69"/>
    <w:rsid w:val="00F7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1AD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1AD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2983</Words>
  <Characters>1701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yulia</cp:lastModifiedBy>
  <cp:revision>2</cp:revision>
  <dcterms:created xsi:type="dcterms:W3CDTF">2019-09-25T14:19:00Z</dcterms:created>
  <dcterms:modified xsi:type="dcterms:W3CDTF">2019-09-25T14:19:00Z</dcterms:modified>
</cp:coreProperties>
</file>