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2" w:rsidRDefault="009B3A92" w:rsidP="009B3A92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>
        <w:br/>
      </w:r>
    </w:p>
    <w:p w:rsidR="009B3A92" w:rsidRPr="009B3A92" w:rsidRDefault="009B3A92" w:rsidP="009B3A92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9B3A92">
        <w:rPr>
          <w:rFonts w:eastAsia="Times New Roman"/>
          <w:b/>
          <w:bCs/>
          <w:noProof/>
          <w:sz w:val="24"/>
          <w:szCs w:val="24"/>
          <w:lang w:val="ru-RU" w:eastAsia="uk-UA"/>
        </w:rPr>
        <w:t xml:space="preserve">ПРОГРАМА CFD ICFM UK (72 години) </w:t>
      </w:r>
    </w:p>
    <w:p w:rsidR="00B80BC6" w:rsidRDefault="009B3A92" w:rsidP="009B3A92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>
        <w:rPr>
          <w:rFonts w:eastAsia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-417830</wp:posOffset>
            </wp:positionV>
            <wp:extent cx="814705" cy="1076325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A92">
        <w:rPr>
          <w:rFonts w:eastAsia="Times New Roman"/>
          <w:b/>
          <w:bCs/>
          <w:noProof/>
          <w:sz w:val="24"/>
          <w:szCs w:val="24"/>
          <w:lang w:val="ru-RU" w:eastAsia="uk-UA"/>
        </w:rPr>
        <w:t> "Корпоративні фінанси"</w:t>
      </w:r>
    </w:p>
    <w:p w:rsidR="009B3A92" w:rsidRDefault="009B3A92" w:rsidP="009B3A92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</w:p>
    <w:p w:rsidR="009B3A92" w:rsidRDefault="009B3A92" w:rsidP="009B3A92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1. Економічний зміст і призначення корпоративних фінансів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2. Корпорація та фінансовий ринок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3. Наведена вартість і альтернативні витрати.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4. Оцінка довгострокових активів. Ризик і прибутковість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5. Планування капітальних вкладень і ризик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6. Ефективні ринки капіталу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7. Моделі корпоративного фінансування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8. Створення акціонерної компанії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9. Д</w:t>
      </w:r>
      <w:r>
        <w:rPr>
          <w:rFonts w:ascii="Calibri" w:eastAsia="Calibri" w:hAnsi="Calibri" w:cs="Times New Roman"/>
          <w:sz w:val="24"/>
          <w:szCs w:val="24"/>
          <w:lang w:val="ru-RU" w:eastAsia="ru-RU"/>
        </w:rPr>
        <w:t>и</w:t>
      </w:r>
      <w:r>
        <w:rPr>
          <w:rFonts w:ascii="Calibri" w:eastAsia="Calibri" w:hAnsi="Calibri" w:cs="Times New Roman"/>
          <w:sz w:val="24"/>
          <w:szCs w:val="24"/>
          <w:lang w:eastAsia="ru-RU"/>
        </w:rPr>
        <w:t>в</w:t>
      </w:r>
      <w:r>
        <w:rPr>
          <w:rFonts w:ascii="Calibri" w:eastAsia="Calibri" w:hAnsi="Calibri" w:cs="Times New Roman"/>
          <w:sz w:val="24"/>
          <w:szCs w:val="24"/>
          <w:lang w:val="ru-RU" w:eastAsia="ru-RU"/>
        </w:rPr>
        <w:t>и</w:t>
      </w:r>
      <w:r>
        <w:rPr>
          <w:rFonts w:ascii="Calibri" w:eastAsia="Calibri" w:hAnsi="Calibri" w:cs="Times New Roman"/>
          <w:sz w:val="24"/>
          <w:szCs w:val="24"/>
          <w:lang w:eastAsia="ru-RU"/>
        </w:rPr>
        <w:t>дентна</w:t>
      </w: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 xml:space="preserve"> політика і структура капіталу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10. Корпоративні та особисті податки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11. Фінансування та оцінка вартості компанії</w:t>
      </w:r>
    </w:p>
    <w:p w:rsidR="009B3A92" w:rsidRPr="009B3A92" w:rsidRDefault="009B3A92" w:rsidP="009B3A92">
      <w:pPr>
        <w:spacing w:line="36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12. Теорія опціонів</w:t>
      </w: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br/>
        <w:t xml:space="preserve">13. Боргове фінансування: довгострокове кредитування 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14. Управління ризиком. Страхування. Хеджування.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 xml:space="preserve">15. Міжнародні ризики 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 xml:space="preserve">16. Короткострокове фінансування і управління грошовим потоком 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 xml:space="preserve">17. Корпоративне фінансове планування </w:t>
      </w:r>
    </w:p>
    <w:p w:rsidR="009B3A92" w:rsidRPr="009B3A92" w:rsidRDefault="009B3A92" w:rsidP="009B3A92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B3A92">
        <w:rPr>
          <w:rFonts w:ascii="Calibri" w:eastAsia="Calibri" w:hAnsi="Calibri" w:cs="Times New Roman"/>
          <w:sz w:val="24"/>
          <w:szCs w:val="24"/>
          <w:lang w:eastAsia="ru-RU"/>
        </w:rPr>
        <w:t>18. Корпоративне управління та контроль. Механізм злиття.</w:t>
      </w:r>
    </w:p>
    <w:sectPr w:rsidR="009B3A92" w:rsidRPr="009B3A92" w:rsidSect="00B80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3A92"/>
    <w:rsid w:val="009B3A92"/>
    <w:rsid w:val="00B8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3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A9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2019-02-25T11:28:00Z</dcterms:created>
  <dcterms:modified xsi:type="dcterms:W3CDTF">2019-02-25T11:37:00Z</dcterms:modified>
</cp:coreProperties>
</file>