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F4" w:rsidRDefault="00312EF4" w:rsidP="00312EF4">
      <w:pPr>
        <w:jc w:val="center"/>
        <w:rPr>
          <w:rFonts w:eastAsia="Times New Roman"/>
          <w:b/>
          <w:bCs/>
          <w:noProof/>
          <w:sz w:val="24"/>
          <w:szCs w:val="24"/>
          <w:lang w:eastAsia="uk-UA"/>
        </w:rPr>
      </w:pPr>
      <w:r>
        <w:rPr>
          <w:rFonts w:ascii="inherit" w:eastAsia="Times New Roman" w:hAnsi="inherit" w:cs="Courier New"/>
          <w:noProof/>
          <w:color w:val="222222"/>
          <w:sz w:val="42"/>
          <w:szCs w:val="42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57150</wp:posOffset>
            </wp:positionV>
            <wp:extent cx="734695" cy="864235"/>
            <wp:effectExtent l="0" t="0" r="8255" b="0"/>
            <wp:wrapTight wrapText="bothSides">
              <wp:wrapPolygon edited="0">
                <wp:start x="0" y="0"/>
                <wp:lineTo x="0" y="20949"/>
                <wp:lineTo x="21283" y="20949"/>
                <wp:lineTo x="21283" y="0"/>
                <wp:lineTo x="0" y="0"/>
              </wp:wrapPolygon>
            </wp:wrapTight>
            <wp:docPr id="2" name="Рисунок 2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eastAsia="Times New Roman" w:hAnsi="inherit" w:cs="Courier New"/>
          <w:color w:val="222222"/>
          <w:sz w:val="42"/>
          <w:szCs w:val="42"/>
          <w:lang w:eastAsia="uk-UA"/>
        </w:rPr>
        <w:br/>
      </w:r>
      <w:r>
        <w:rPr>
          <w:rFonts w:eastAsia="Times New Roman"/>
          <w:b/>
          <w:bCs/>
          <w:noProof/>
          <w:sz w:val="24"/>
          <w:szCs w:val="24"/>
          <w:lang w:eastAsia="uk-UA"/>
        </w:rPr>
        <w:t>ПРОГРАМА PFM ICFM UK (72 години)</w:t>
      </w:r>
    </w:p>
    <w:p w:rsidR="00312EF4" w:rsidRDefault="00312EF4" w:rsidP="00312EF4">
      <w:pPr>
        <w:jc w:val="center"/>
        <w:rPr>
          <w:rFonts w:eastAsia="Times New Roman"/>
          <w:b/>
          <w:bCs/>
          <w:noProof/>
          <w:sz w:val="24"/>
          <w:szCs w:val="24"/>
          <w:lang w:eastAsia="uk-UA"/>
        </w:rPr>
      </w:pPr>
      <w:r>
        <w:rPr>
          <w:rFonts w:eastAsia="Times New Roman"/>
          <w:b/>
          <w:bCs/>
          <w:noProof/>
          <w:sz w:val="24"/>
          <w:szCs w:val="24"/>
          <w:lang w:eastAsia="uk-UA"/>
        </w:rPr>
        <w:t>«МСФЗ І ФІНАНСОВИЙ ОБЛІК»</w:t>
      </w:r>
    </w:p>
    <w:p w:rsidR="00312EF4" w:rsidRDefault="00312EF4" w:rsidP="00312EF4"/>
    <w:p w:rsidR="00312EF4" w:rsidRDefault="00312EF4" w:rsidP="00312EF4">
      <w:pPr>
        <w:pStyle w:val="HTML"/>
        <w:shd w:val="clear" w:color="auto" w:fill="FFFFFF"/>
        <w:spacing w:line="360" w:lineRule="auto"/>
      </w:pPr>
      <w:r>
        <w:br/>
      </w:r>
    </w:p>
    <w:p w:rsidR="00312EF4" w:rsidRDefault="00312EF4" w:rsidP="00312EF4">
      <w:pPr>
        <w:pStyle w:val="HTML"/>
        <w:shd w:val="clear" w:color="auto" w:fill="FFFFFF"/>
        <w:spacing w:line="360" w:lineRule="auto"/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 xml:space="preserve">1. Введення в МСФЗ </w:t>
      </w:r>
    </w:p>
    <w:p w:rsidR="00312EF4" w:rsidRDefault="00312EF4" w:rsidP="00312EF4">
      <w:pPr>
        <w:pStyle w:val="HTML"/>
        <w:shd w:val="clear" w:color="auto" w:fill="FFFFFF"/>
        <w:spacing w:line="360" w:lineRule="auto"/>
      </w:pPr>
      <w:r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 xml:space="preserve">2. Принципи підготовки фінансової звітності по МСФЗ </w:t>
      </w:r>
      <w:r>
        <w:br/>
      </w:r>
    </w:p>
    <w:p w:rsidR="00312EF4" w:rsidRDefault="00312EF4" w:rsidP="00312EF4">
      <w:pPr>
        <w:pStyle w:val="HTML"/>
        <w:shd w:val="clear" w:color="auto" w:fill="FFFFFF"/>
        <w:spacing w:line="360" w:lineRule="auto"/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1.IAS 1 Подання фінансової звітності 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2.IAS 8 Облікова політика, зміни в бухгалтерських оцінках та помилки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>3. Облік запасів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1.IAS 2 Запаси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>4.Учет основних засобів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1. IAS 16 Основні засоби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2. IAS 23 Витрати на позики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3. IAS 40 Інвестиційна нерухомість</w:t>
      </w:r>
    </w:p>
    <w:p w:rsidR="00312EF4" w:rsidRDefault="00312EF4" w:rsidP="00312EF4">
      <w:pPr>
        <w:pStyle w:val="HTML"/>
        <w:shd w:val="clear" w:color="auto" w:fill="FFFFFF"/>
        <w:spacing w:line="480" w:lineRule="auto"/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4. IAS 36 Знецінення активів</w:t>
      </w:r>
      <w:r>
        <w:br/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>5. Облік нематеріальних активів</w:t>
      </w: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 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1.IAS 38 Нематеріальні активи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>6. Визнання доходів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1. IFRS 15 Виручка</w:t>
      </w:r>
    </w:p>
    <w:p w:rsidR="00312EF4" w:rsidRDefault="00312EF4" w:rsidP="00312EF4">
      <w:pPr>
        <w:pStyle w:val="HTML"/>
        <w:shd w:val="clear" w:color="auto" w:fill="FFFFFF"/>
        <w:spacing w:line="480" w:lineRule="auto"/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2. IFRS 16 Оренда</w:t>
      </w:r>
      <w:bookmarkStart w:id="0" w:name="_GoBack"/>
      <w:bookmarkEnd w:id="0"/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 xml:space="preserve">7. Облік оренди 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1.IAS 37 Резерви, умовні зобов'язання і непередбачені активи 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2.IFRS 5 Необоротні активи, утримувані для продажу та припинена діяльність </w:t>
      </w:r>
    </w:p>
    <w:p w:rsidR="00312EF4" w:rsidRDefault="00312EF4" w:rsidP="00312EF4">
      <w:pPr>
        <w:pStyle w:val="HTML"/>
        <w:shd w:val="clear" w:color="auto" w:fill="FFFFFF"/>
        <w:spacing w:line="480" w:lineRule="auto"/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3. IAS 12 Податки на прибуток</w:t>
      </w:r>
      <w:r>
        <w:br/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lastRenderedPageBreak/>
        <w:t>8. Облік фінансових інструментів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1. IAS 32 Фінансові інструменти: надання інформації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2.IAS 39 Фінансові інструменти: визнання та оцінка</w:t>
      </w:r>
    </w:p>
    <w:p w:rsidR="00312EF4" w:rsidRDefault="00312EF4" w:rsidP="00312EF4">
      <w:pPr>
        <w:pStyle w:val="HTML"/>
        <w:shd w:val="clear" w:color="auto" w:fill="FFFFFF"/>
        <w:spacing w:line="480" w:lineRule="auto"/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3. IFRS 9 Фінансові інструменти</w:t>
      </w:r>
      <w:r>
        <w:br/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>9. Облік інвестицій</w:t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</w:p>
    <w:p w:rsidR="00312EF4" w:rsidRDefault="00312EF4" w:rsidP="00312EF4">
      <w:pPr>
        <w:pStyle w:val="HTML"/>
        <w:shd w:val="clear" w:color="auto" w:fill="FFFFFF"/>
        <w:spacing w:line="480" w:lineRule="auto"/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1.IAS 28 Інвестиції в асоційовані підприємства</w:t>
      </w:r>
      <w:r>
        <w:br/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>10. Звітність групи компаній</w:t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1.IFRS 3 Об'єднання компаній </w:t>
      </w:r>
    </w:p>
    <w:p w:rsidR="00312EF4" w:rsidRDefault="002A3AE3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2.IAS 27 О</w:t>
      </w:r>
      <w:r w:rsidR="00312EF4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крема фінансова звітність 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3. IFRS 10 Консолідована фінансова звітність </w:t>
      </w:r>
    </w:p>
    <w:p w:rsidR="00312EF4" w:rsidRDefault="00312EF4" w:rsidP="00312EF4">
      <w:pPr>
        <w:pStyle w:val="HTML"/>
        <w:shd w:val="clear" w:color="auto" w:fill="FFFFFF"/>
        <w:spacing w:line="480" w:lineRule="auto"/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4. IFRS 12 Розкриття інформації про участь в інших підприємствах</w:t>
      </w:r>
      <w:r>
        <w:br/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>11.Операціі в іноземній валюті</w:t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1.IAS 21 Вплив змін валютних курсів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>12. IAS 7 Звіт про рух грошових коштів</w:t>
      </w: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br/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Додаткове розкриття інформації</w:t>
      </w: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 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IAS 10 Події після звітної дати 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IAS 24 Розкриття інформації про пов'язаних сторін 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IAS 34 Проміжна фінансова звітність 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IFRS 8 Операційні сегменти 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IAS 33 Прибуток на акцію 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IFRS 13 Оцінка справедливої ​​вартості </w:t>
      </w:r>
    </w:p>
    <w:p w:rsidR="00312EF4" w:rsidRDefault="00312EF4" w:rsidP="00312EF4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IFRS 1 Перше застосування МСФЗ</w:t>
      </w:r>
    </w:p>
    <w:p w:rsidR="00876B2C" w:rsidRDefault="00876B2C"/>
    <w:sectPr w:rsidR="00876B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C9"/>
    <w:rsid w:val="0021504D"/>
    <w:rsid w:val="002A3AE3"/>
    <w:rsid w:val="00312EF4"/>
    <w:rsid w:val="00587CC9"/>
    <w:rsid w:val="0087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12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2EF4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12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2EF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992</Words>
  <Characters>567</Characters>
  <Application>Microsoft Office Word</Application>
  <DocSecurity>0</DocSecurity>
  <Lines>4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2020-10-02T13:44:00Z</dcterms:created>
  <dcterms:modified xsi:type="dcterms:W3CDTF">2020-10-02T13:46:00Z</dcterms:modified>
</cp:coreProperties>
</file>