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489A1" w14:textId="6263D6AF" w:rsidR="00A566B0" w:rsidRPr="006A3570" w:rsidRDefault="00A566B0">
      <w:pPr>
        <w:rPr>
          <w:rFonts w:ascii="Garamond" w:hAnsi="Garamond"/>
        </w:rPr>
      </w:pPr>
      <w:r w:rsidRPr="006A3570">
        <w:rPr>
          <w:rFonts w:ascii="Garamond" w:hAnsi="Garamond" w:cs="Arial"/>
          <w:noProof/>
          <w:color w:val="000000"/>
          <w:lang w:eastAsia="uk-UA"/>
        </w:rPr>
        <w:drawing>
          <wp:anchor distT="0" distB="0" distL="114300" distR="114300" simplePos="0" relativeHeight="251661312" behindDoc="0" locked="0" layoutInCell="1" allowOverlap="1" wp14:anchorId="3D2E220C" wp14:editId="4EAC8B9E">
            <wp:simplePos x="0" y="0"/>
            <wp:positionH relativeFrom="column">
              <wp:posOffset>5070475</wp:posOffset>
            </wp:positionH>
            <wp:positionV relativeFrom="paragraph">
              <wp:posOffset>90170</wp:posOffset>
            </wp:positionV>
            <wp:extent cx="1161415" cy="551180"/>
            <wp:effectExtent l="0" t="0" r="635" b="1270"/>
            <wp:wrapSquare wrapText="bothSides"/>
            <wp:docPr id="3" name="Рисунок 3" descr="C:\Users\User\Desktop\124A4B47-42A7-475D-A6AD-DF24C923D6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4A4B47-42A7-475D-A6AD-DF24C923D6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AE5" w:rsidRPr="006A3570">
        <w:rPr>
          <w:rFonts w:ascii="Garamond" w:hAnsi="Garamond"/>
          <w:b/>
          <w:bCs/>
          <w:i/>
          <w:iCs/>
          <w:noProof/>
          <w:color w:val="000000"/>
          <w:lang w:eastAsia="uk-UA"/>
        </w:rPr>
        <w:drawing>
          <wp:anchor distT="0" distB="0" distL="114300" distR="114300" simplePos="0" relativeHeight="251659264" behindDoc="0" locked="0" layoutInCell="1" allowOverlap="1" wp14:anchorId="119CDEDE" wp14:editId="75D181D6">
            <wp:simplePos x="0" y="0"/>
            <wp:positionH relativeFrom="column">
              <wp:posOffset>-551815</wp:posOffset>
            </wp:positionH>
            <wp:positionV relativeFrom="paragraph">
              <wp:posOffset>27940</wp:posOffset>
            </wp:positionV>
            <wp:extent cx="1275715" cy="556260"/>
            <wp:effectExtent l="0" t="0" r="635" b="0"/>
            <wp:wrapSquare wrapText="bothSides"/>
            <wp:docPr id="1" name="Рисунок 1" descr="C:\Users\User\Desktop\5178_icblogo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178_icblogocolo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0C733" w14:textId="77777777" w:rsidR="00A566B0" w:rsidRPr="006A3570" w:rsidRDefault="00A566B0">
      <w:pPr>
        <w:rPr>
          <w:rFonts w:ascii="Garamond" w:hAnsi="Garamond"/>
        </w:rPr>
      </w:pPr>
    </w:p>
    <w:p w14:paraId="6FB6B865" w14:textId="0B3840BE" w:rsidR="00872AE5" w:rsidRPr="006A3570" w:rsidRDefault="00872AE5" w:rsidP="00872AE5">
      <w:pPr>
        <w:shd w:val="clear" w:color="auto" w:fill="FFFFFF"/>
        <w:jc w:val="center"/>
        <w:rPr>
          <w:b/>
          <w:bCs/>
          <w:i/>
          <w:iCs/>
          <w:color w:val="000000"/>
          <w:sz w:val="28"/>
          <w:lang w:val="en-US" w:eastAsia="uk-UA"/>
        </w:rPr>
      </w:pPr>
      <w:bookmarkStart w:id="0" w:name="_GoBack"/>
      <w:proofErr w:type="gramStart"/>
      <w:r w:rsidRPr="006A3570">
        <w:rPr>
          <w:rStyle w:val="xfmc3"/>
          <w:b/>
          <w:color w:val="2D2C37"/>
          <w:sz w:val="28"/>
          <w:szCs w:val="27"/>
          <w:shd w:val="clear" w:color="auto" w:fill="FFFFFF"/>
          <w:lang w:val="en-US"/>
        </w:rPr>
        <w:t>ICB  </w:t>
      </w:r>
      <w:r w:rsidRPr="006A3570">
        <w:rPr>
          <w:b/>
          <w:color w:val="2D2C37"/>
          <w:sz w:val="28"/>
          <w:szCs w:val="27"/>
          <w:shd w:val="clear" w:color="auto" w:fill="FFFFFF"/>
          <w:lang w:val="en-US"/>
        </w:rPr>
        <w:t>“</w:t>
      </w:r>
      <w:proofErr w:type="gramEnd"/>
      <w:r w:rsidRPr="006A3570">
        <w:rPr>
          <w:b/>
          <w:color w:val="2D2C37"/>
          <w:sz w:val="28"/>
          <w:szCs w:val="27"/>
          <w:shd w:val="clear" w:color="auto" w:fill="FFFFFF"/>
          <w:lang w:val="en-US"/>
        </w:rPr>
        <w:t>Certificate in Advanced Bookkeeping”</w:t>
      </w:r>
    </w:p>
    <w:bookmarkEnd w:id="0"/>
    <w:p w14:paraId="49A99EA7" w14:textId="77777777" w:rsidR="00872AE5" w:rsidRPr="00872AE5" w:rsidRDefault="00872AE5" w:rsidP="00872AE5">
      <w:pPr>
        <w:shd w:val="clear" w:color="auto" w:fill="FFFFFF"/>
        <w:jc w:val="center"/>
        <w:rPr>
          <w:b/>
          <w:color w:val="2D2C37"/>
          <w:sz w:val="28"/>
          <w:szCs w:val="27"/>
          <w:lang w:val="en-US" w:eastAsia="uk-UA"/>
        </w:rPr>
      </w:pPr>
      <w:r w:rsidRPr="006A3570">
        <w:rPr>
          <w:b/>
          <w:color w:val="2D2C37"/>
          <w:sz w:val="28"/>
          <w:szCs w:val="27"/>
          <w:lang w:val="en-US" w:eastAsia="uk-UA"/>
        </w:rPr>
        <w:t>(</w:t>
      </w:r>
      <w:proofErr w:type="gramStart"/>
      <w:r w:rsidRPr="006A3570">
        <w:rPr>
          <w:b/>
          <w:color w:val="2D2C37"/>
          <w:sz w:val="28"/>
          <w:szCs w:val="27"/>
          <w:lang w:val="en-US" w:eastAsia="uk-UA"/>
        </w:rPr>
        <w:t>accredited</w:t>
      </w:r>
      <w:proofErr w:type="gramEnd"/>
      <w:r w:rsidRPr="006A3570">
        <w:rPr>
          <w:b/>
          <w:color w:val="2D2C37"/>
          <w:sz w:val="28"/>
          <w:szCs w:val="27"/>
          <w:lang w:val="en-US" w:eastAsia="uk-UA"/>
        </w:rPr>
        <w:t> program)</w:t>
      </w:r>
    </w:p>
    <w:p w14:paraId="5D393859" w14:textId="77777777" w:rsidR="00A566B0" w:rsidRPr="006A3570" w:rsidRDefault="00A566B0" w:rsidP="00A566B0">
      <w:pPr>
        <w:shd w:val="clear" w:color="auto" w:fill="FFFFFF"/>
        <w:spacing w:after="100" w:line="324" w:lineRule="atLeast"/>
        <w:jc w:val="center"/>
        <w:rPr>
          <w:rFonts w:ascii="Garamond" w:hAnsi="Garamond" w:cs="Arial"/>
          <w:color w:val="000000"/>
          <w:lang w:eastAsia="uk-UA"/>
        </w:rPr>
      </w:pPr>
    </w:p>
    <w:tbl>
      <w:tblPr>
        <w:tblW w:w="0" w:type="auto"/>
        <w:tblInd w:w="-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8609"/>
        <w:gridCol w:w="850"/>
      </w:tblGrid>
      <w:tr w:rsidR="00A566B0" w:rsidRPr="006A3570" w14:paraId="5A13919C" w14:textId="77777777" w:rsidTr="00A566B0">
        <w:trPr>
          <w:trHeight w:val="63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39488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61C52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</w:p>
          <w:p w14:paraId="01093376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Навчальний  план</w:t>
            </w:r>
          </w:p>
          <w:p w14:paraId="5907D5C9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</w:p>
          <w:p w14:paraId="1CA16866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ED0F7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години </w:t>
            </w:r>
          </w:p>
        </w:tc>
      </w:tr>
      <w:tr w:rsidR="00A566B0" w:rsidRPr="006A3570" w14:paraId="6FCC2064" w14:textId="77777777" w:rsidTr="00A566B0">
        <w:trPr>
          <w:trHeight w:val="51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5ED81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84D2B" w14:textId="69BD39C5" w:rsidR="004343D2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 </w:t>
            </w:r>
          </w:p>
          <w:p w14:paraId="5A137194" w14:textId="6A932FC9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</w:rPr>
              <w:t>Поняття підприємства та основні аспекти започаткування господарської діяльності в Україні. Реєстрація підприємства. Податковий облік та вибір системи оподаткування. Первинна документація. Відкриття банківського рахунку та використання електронних сервісів. Основні обов’язки платника податків</w:t>
            </w:r>
          </w:p>
          <w:p w14:paraId="192F532B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665CC" w14:textId="30621530" w:rsidR="00A566B0" w:rsidRPr="006A3570" w:rsidRDefault="004343D2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5</w:t>
            </w:r>
          </w:p>
        </w:tc>
      </w:tr>
      <w:tr w:rsidR="00A566B0" w:rsidRPr="006A3570" w14:paraId="6A873D35" w14:textId="77777777" w:rsidTr="00A566B0">
        <w:trPr>
          <w:trHeight w:val="48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A201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46936" w14:textId="1B5E227F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 </w:t>
            </w:r>
          </w:p>
          <w:p w14:paraId="3283018C" w14:textId="77777777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17E4DB58" w14:textId="372F1009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</w:rPr>
              <w:t>Інформація про типи та форми бухгалтерського обліку, документообіг, інвентаризацію, калькуляцію, подвійний запис, Національний план рахунків. Поняття бухгалтерського обліку та облікова політика</w:t>
            </w:r>
          </w:p>
          <w:p w14:paraId="2524FB69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A6DD" w14:textId="0C1CB75D" w:rsidR="00A566B0" w:rsidRPr="006A3570" w:rsidRDefault="004343D2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8</w:t>
            </w:r>
          </w:p>
        </w:tc>
      </w:tr>
      <w:tr w:rsidR="00A566B0" w:rsidRPr="006A3570" w14:paraId="764E46C3" w14:textId="77777777" w:rsidTr="00A566B0">
        <w:trPr>
          <w:trHeight w:val="25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3FAAF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58C3" w14:textId="77777777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7BEAE965" w14:textId="0741A920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Концептуальна основа та фінансова звітність. Стандарти бухгалтерського обліку: національні стандарти та МСФЗ. Фінансова звітність: Баланс, звіт про прибутки та збитки, звіт про рух грошових коштів, звіт про власний капітал.</w:t>
            </w:r>
          </w:p>
          <w:p w14:paraId="53EBF369" w14:textId="77777777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5D815218" w14:textId="77777777" w:rsidR="004343D2" w:rsidRPr="006A3570" w:rsidRDefault="004343D2" w:rsidP="004343D2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751EA" w14:textId="7A2C2C7E" w:rsidR="00A566B0" w:rsidRPr="006A3570" w:rsidRDefault="004343D2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4</w:t>
            </w:r>
          </w:p>
        </w:tc>
      </w:tr>
      <w:tr w:rsidR="00A566B0" w:rsidRPr="006A3570" w14:paraId="5F6057E7" w14:textId="77777777" w:rsidTr="00A566B0">
        <w:trPr>
          <w:trHeight w:val="25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D8EFE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A3F2" w14:textId="77777777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473FB7EA" w14:textId="14B93F5F" w:rsidR="004343D2" w:rsidRPr="006A3570" w:rsidRDefault="004343D2" w:rsidP="004343D2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Довгострокові активи: Основні засоби, Нематеріальні активи,</w:t>
            </w:r>
          </w:p>
          <w:p w14:paraId="2F2FCAC3" w14:textId="21C0D3D0" w:rsidR="004343D2" w:rsidRPr="006A3570" w:rsidRDefault="004343D2" w:rsidP="004343D2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Інвестиції (боргові інвестиції, інвестиції в акціонерний капітал)</w:t>
            </w:r>
          </w:p>
          <w:p w14:paraId="44363503" w14:textId="77777777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19B6873C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 </w:t>
            </w:r>
          </w:p>
          <w:p w14:paraId="708F5981" w14:textId="5D09FD50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AEB6" w14:textId="0B1E969D" w:rsidR="00A566B0" w:rsidRPr="006A3570" w:rsidRDefault="004343D2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6</w:t>
            </w:r>
          </w:p>
        </w:tc>
      </w:tr>
      <w:tr w:rsidR="00A566B0" w:rsidRPr="006A3570" w14:paraId="649A0021" w14:textId="77777777" w:rsidTr="00A566B0">
        <w:trPr>
          <w:trHeight w:val="51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92651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DE96D" w14:textId="77777777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792BF532" w14:textId="77777777" w:rsidR="004343D2" w:rsidRPr="006A3570" w:rsidRDefault="004343D2" w:rsidP="004343D2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Оборотні активи: запаси (сировина, виробничі витрати, готова продукція, товари для перепродажу та інші категорії запасів).</w:t>
            </w:r>
          </w:p>
          <w:p w14:paraId="22AD9B4F" w14:textId="77777777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20E576A9" w14:textId="77777777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5EE77" w14:textId="109BF74B" w:rsidR="00A566B0" w:rsidRPr="006A3570" w:rsidRDefault="004343D2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6</w:t>
            </w:r>
          </w:p>
        </w:tc>
      </w:tr>
      <w:tr w:rsidR="00A566B0" w:rsidRPr="006A3570" w14:paraId="0E091E18" w14:textId="77777777" w:rsidTr="00A566B0">
        <w:trPr>
          <w:trHeight w:val="48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3D4F9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5B71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Короткострокова та довгострокова дебіторська заборгованість, інші довгострокові та короткострокові фінансові активи та інші довгострокові та короткострокові активи</w:t>
            </w:r>
          </w:p>
          <w:p w14:paraId="460590FD" w14:textId="0045D175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8267B" w14:textId="2351E1CE" w:rsidR="00A566B0" w:rsidRPr="006A3570" w:rsidRDefault="004343D2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5</w:t>
            </w:r>
          </w:p>
        </w:tc>
      </w:tr>
      <w:tr w:rsidR="00A566B0" w:rsidRPr="006A3570" w14:paraId="6DBF7C7A" w14:textId="77777777" w:rsidTr="00A566B0">
        <w:trPr>
          <w:trHeight w:val="25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4374B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100B2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Грошові кошти та їх еквіваленти: готівка, грошові перекази, банківські рахунки, грошові еквіваленти та субрахунок ПДВ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9470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3</w:t>
            </w:r>
          </w:p>
        </w:tc>
      </w:tr>
      <w:tr w:rsidR="00A566B0" w:rsidRPr="006A3570" w14:paraId="5DF1E7C6" w14:textId="77777777" w:rsidTr="00A566B0">
        <w:trPr>
          <w:trHeight w:val="51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54D2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B0E7" w14:textId="77777777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658E4EF8" w14:textId="1F787044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Довгострокові зобов'язання: облігації до сплати, оренда</w:t>
            </w:r>
          </w:p>
          <w:p w14:paraId="09306E90" w14:textId="4C79BAC0" w:rsidR="004343D2" w:rsidRPr="006A3570" w:rsidRDefault="004343D2" w:rsidP="004343D2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 xml:space="preserve">Поточні зобов'язання: кредиторська заборгованість, </w:t>
            </w:r>
            <w:proofErr w:type="spellStart"/>
            <w:r w:rsidRPr="006A3570">
              <w:rPr>
                <w:rFonts w:ascii="Garamond" w:hAnsi="Garamond"/>
                <w:color w:val="000000"/>
                <w:lang w:eastAsia="uk-UA"/>
              </w:rPr>
              <w:t>oблік</w:t>
            </w:r>
            <w:proofErr w:type="spellEnd"/>
            <w:r w:rsidRPr="006A3570">
              <w:rPr>
                <w:rFonts w:ascii="Garamond" w:hAnsi="Garamond"/>
                <w:color w:val="000000"/>
                <w:lang w:eastAsia="uk-UA"/>
              </w:rPr>
              <w:t xml:space="preserve"> розрахунків по заробітній платі з працівниками. Поточна заборгованість за довгостроковими зобов'язаннями. Непередбачені зобов'язання та резерви (гарантії, судові позови).</w:t>
            </w:r>
          </w:p>
          <w:p w14:paraId="220E4150" w14:textId="77777777" w:rsidR="004343D2" w:rsidRPr="006A3570" w:rsidRDefault="004343D2" w:rsidP="004343D2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1EA35F85" w14:textId="78C6B12B" w:rsidR="004343D2" w:rsidRPr="006A3570" w:rsidRDefault="004343D2" w:rsidP="004343D2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43CEA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6</w:t>
            </w:r>
          </w:p>
        </w:tc>
      </w:tr>
      <w:tr w:rsidR="00A566B0" w:rsidRPr="006A3570" w14:paraId="65C321AC" w14:textId="77777777" w:rsidTr="00A566B0">
        <w:trPr>
          <w:trHeight w:val="24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5800E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E8C6D" w14:textId="77777777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4D42EA3F" w14:textId="1D1447C4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Власний капітал: Власний капітал акціонерів: звичайні акції, привілейовані акції, нерозподілений прибуток, дивіденди.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140E4" w14:textId="2C6E1CA7" w:rsidR="00A566B0" w:rsidRPr="006A3570" w:rsidRDefault="004343D2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6</w:t>
            </w:r>
          </w:p>
        </w:tc>
      </w:tr>
      <w:tr w:rsidR="00A566B0" w:rsidRPr="006A3570" w14:paraId="7E3E0E00" w14:textId="77777777" w:rsidTr="00A566B0">
        <w:trPr>
          <w:trHeight w:val="46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FC231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8B32" w14:textId="20A312F1" w:rsidR="00A566B0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Визнання доходів: основні принципи.</w:t>
            </w:r>
          </w:p>
          <w:p w14:paraId="795DDC3F" w14:textId="54AC683F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 xml:space="preserve">Витрати: собівартість продажів, адміністративні, комерційні, фінансові витрати тощо.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749FC" w14:textId="319EABFC" w:rsidR="00A566B0" w:rsidRPr="006A3570" w:rsidRDefault="004343D2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6</w:t>
            </w:r>
          </w:p>
        </w:tc>
      </w:tr>
      <w:tr w:rsidR="00A566B0" w:rsidRPr="006A3570" w14:paraId="7A5E0882" w14:textId="77777777" w:rsidTr="00A566B0">
        <w:trPr>
          <w:trHeight w:val="25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C24D1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D217E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52CAC81F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 xml:space="preserve">Облік розрахунків по заробітній платі з працівниками. Облік розрахунків з необлікованими особами. Облік </w:t>
            </w:r>
            <w:proofErr w:type="spellStart"/>
            <w:r w:rsidRPr="006A3570">
              <w:rPr>
                <w:rFonts w:ascii="Garamond" w:hAnsi="Garamond"/>
                <w:color w:val="000000"/>
                <w:lang w:eastAsia="uk-UA"/>
              </w:rPr>
              <w:t>відряджень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C35F0" w14:textId="29AF56DF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</w:p>
        </w:tc>
      </w:tr>
      <w:tr w:rsidR="00A566B0" w:rsidRPr="006A3570" w14:paraId="5C02E892" w14:textId="77777777" w:rsidTr="00A566B0">
        <w:trPr>
          <w:trHeight w:val="31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958A5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A5755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450523DB" w14:textId="1AD5FCCD" w:rsidR="00A566B0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 xml:space="preserve"> Складання п</w:t>
            </w:r>
            <w:r w:rsidR="00A566B0" w:rsidRPr="006A3570">
              <w:rPr>
                <w:rFonts w:ascii="Garamond" w:hAnsi="Garamond"/>
                <w:color w:val="000000"/>
                <w:lang w:eastAsia="uk-UA"/>
              </w:rPr>
              <w:t>очатков</w:t>
            </w:r>
            <w:r w:rsidRPr="006A3570">
              <w:rPr>
                <w:rFonts w:ascii="Garamond" w:hAnsi="Garamond"/>
                <w:color w:val="000000"/>
                <w:lang w:eastAsia="uk-UA"/>
              </w:rPr>
              <w:t>ого</w:t>
            </w:r>
            <w:r w:rsidR="00A566B0" w:rsidRPr="006A3570">
              <w:rPr>
                <w:rFonts w:ascii="Garamond" w:hAnsi="Garamond"/>
                <w:color w:val="000000"/>
                <w:lang w:eastAsia="uk-UA"/>
              </w:rPr>
              <w:t xml:space="preserve"> пробн</w:t>
            </w:r>
            <w:r w:rsidRPr="006A3570">
              <w:rPr>
                <w:rFonts w:ascii="Garamond" w:hAnsi="Garamond"/>
                <w:color w:val="000000"/>
                <w:lang w:eastAsia="uk-UA"/>
              </w:rPr>
              <w:t>ого</w:t>
            </w:r>
            <w:r w:rsidR="00A566B0" w:rsidRPr="006A3570">
              <w:rPr>
                <w:rFonts w:ascii="Garamond" w:hAnsi="Garamond"/>
                <w:color w:val="000000"/>
                <w:lang w:eastAsia="uk-UA"/>
              </w:rPr>
              <w:t xml:space="preserve"> баланс</w:t>
            </w:r>
            <w:r w:rsidRPr="006A3570">
              <w:rPr>
                <w:rFonts w:ascii="Garamond" w:hAnsi="Garamond"/>
                <w:color w:val="000000"/>
                <w:lang w:eastAsia="uk-UA"/>
              </w:rPr>
              <w:t>у</w:t>
            </w:r>
            <w:r w:rsidR="00A566B0" w:rsidRPr="006A3570">
              <w:rPr>
                <w:rFonts w:ascii="Garamond" w:hAnsi="Garamond"/>
                <w:color w:val="000000"/>
                <w:lang w:eastAsia="uk-UA"/>
              </w:rPr>
              <w:t xml:space="preserve">. </w:t>
            </w:r>
            <w:r w:rsidRPr="006A3570">
              <w:rPr>
                <w:rFonts w:ascii="Garamond" w:hAnsi="Garamond"/>
                <w:color w:val="000000"/>
                <w:lang w:eastAsia="uk-UA"/>
              </w:rPr>
              <w:t>Зміни в бухгалтерському обліку та виправлення помилок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6970" w14:textId="2381EC6E" w:rsidR="00A566B0" w:rsidRPr="006A3570" w:rsidRDefault="004343D2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6</w:t>
            </w:r>
          </w:p>
        </w:tc>
      </w:tr>
      <w:tr w:rsidR="00A566B0" w:rsidRPr="006A3570" w14:paraId="0FEDE683" w14:textId="77777777" w:rsidTr="00A566B0">
        <w:trPr>
          <w:trHeight w:val="33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FEAE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74AA8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778767B7" w14:textId="650E4F45" w:rsidR="004343D2" w:rsidRPr="006A3570" w:rsidRDefault="00A566B0" w:rsidP="004343D2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Склад</w:t>
            </w:r>
            <w:r w:rsidR="004343D2" w:rsidRPr="006A3570">
              <w:rPr>
                <w:rFonts w:ascii="Garamond" w:hAnsi="Garamond"/>
                <w:color w:val="000000"/>
                <w:lang w:eastAsia="uk-UA"/>
              </w:rPr>
              <w:t>ання</w:t>
            </w:r>
            <w:r w:rsidRPr="006A3570">
              <w:rPr>
                <w:rFonts w:ascii="Garamond" w:hAnsi="Garamond"/>
                <w:color w:val="000000"/>
                <w:lang w:eastAsia="uk-UA"/>
              </w:rPr>
              <w:t xml:space="preserve"> фінансової звітності</w:t>
            </w:r>
            <w:r w:rsidR="004343D2" w:rsidRPr="006A3570">
              <w:rPr>
                <w:rFonts w:ascii="Garamond" w:hAnsi="Garamond"/>
                <w:color w:val="000000"/>
                <w:lang w:eastAsia="uk-UA"/>
              </w:rPr>
              <w:t>:</w:t>
            </w:r>
            <w:r w:rsidRPr="006A3570">
              <w:rPr>
                <w:rFonts w:ascii="Garamond" w:hAnsi="Garamond"/>
                <w:color w:val="000000"/>
                <w:lang w:eastAsia="uk-UA"/>
              </w:rPr>
              <w:t xml:space="preserve"> </w:t>
            </w:r>
            <w:r w:rsidR="004343D2" w:rsidRPr="006A3570">
              <w:rPr>
                <w:rFonts w:ascii="Garamond" w:hAnsi="Garamond"/>
                <w:color w:val="000000"/>
                <w:lang w:eastAsia="uk-UA"/>
              </w:rPr>
              <w:t>Звіт про фінансовий стан (баланс)</w:t>
            </w:r>
          </w:p>
          <w:p w14:paraId="44D7C2CF" w14:textId="20A2C1F5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Звіт про прибутки та збитки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4662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6</w:t>
            </w:r>
          </w:p>
        </w:tc>
      </w:tr>
      <w:tr w:rsidR="00A566B0" w:rsidRPr="006A3570" w14:paraId="610C3327" w14:textId="77777777" w:rsidTr="00A566B0">
        <w:trPr>
          <w:trHeight w:val="33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0D8F4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FC64E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63E78AFB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Звіт про фінансовий стан (баланс)</w:t>
            </w:r>
          </w:p>
          <w:p w14:paraId="44CBA7B5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DB381" w14:textId="055E1325" w:rsidR="00A566B0" w:rsidRPr="006A3570" w:rsidRDefault="006A357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6</w:t>
            </w:r>
          </w:p>
        </w:tc>
      </w:tr>
      <w:tr w:rsidR="00A566B0" w:rsidRPr="006A3570" w14:paraId="6BF5D55A" w14:textId="77777777" w:rsidTr="00A566B0">
        <w:trPr>
          <w:trHeight w:val="25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35076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28AEB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540AF841" w14:textId="03B02AFC" w:rsidR="00A566B0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Звіт про рух грошових коштів: прямі та непрямі методи, операційна, інвестиційна, фінансова діяльність, негрошові операції.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2B991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6</w:t>
            </w:r>
          </w:p>
        </w:tc>
      </w:tr>
      <w:tr w:rsidR="00A566B0" w:rsidRPr="006A3570" w14:paraId="7AB9BF6C" w14:textId="77777777" w:rsidTr="00A566B0">
        <w:trPr>
          <w:trHeight w:val="51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6CA31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60286" w14:textId="77777777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484ECB37" w14:textId="7A220EC2" w:rsidR="004343D2" w:rsidRPr="006A3570" w:rsidRDefault="004343D2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</w:rPr>
              <w:t>Податок на додану вартість (ПДВ), Податок на доходи фізичних осіб (ПДФО), Податок на майно, Земельний податок, Порядок декларування податку на прибуток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DBC5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12</w:t>
            </w:r>
          </w:p>
        </w:tc>
      </w:tr>
      <w:tr w:rsidR="00A566B0" w:rsidRPr="006A3570" w14:paraId="2A187D27" w14:textId="77777777" w:rsidTr="00A566B0">
        <w:trPr>
          <w:trHeight w:val="39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18E8A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62B29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</w:p>
          <w:p w14:paraId="49E2945E" w14:textId="6FB1722F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 xml:space="preserve">Практичний </w:t>
            </w:r>
            <w:r w:rsidR="004343D2" w:rsidRPr="006A3570">
              <w:rPr>
                <w:rFonts w:ascii="Garamond" w:hAnsi="Garamond"/>
                <w:color w:val="000000"/>
                <w:lang w:eastAsia="uk-UA"/>
              </w:rPr>
              <w:t xml:space="preserve">кейс </w:t>
            </w:r>
            <w:r w:rsidRPr="006A3570">
              <w:rPr>
                <w:rFonts w:ascii="Garamond" w:hAnsi="Garamond"/>
                <w:color w:val="000000"/>
                <w:lang w:eastAsia="uk-UA"/>
              </w:rPr>
              <w:t>(</w:t>
            </w:r>
            <w:r w:rsidR="004343D2" w:rsidRPr="006A3570">
              <w:rPr>
                <w:rFonts w:ascii="Garamond" w:hAnsi="Garamond"/>
                <w:color w:val="000000"/>
                <w:lang w:eastAsia="uk-UA"/>
              </w:rPr>
              <w:t xml:space="preserve">по матеріалах </w:t>
            </w:r>
            <w:r w:rsidRPr="006A3570">
              <w:rPr>
                <w:rFonts w:ascii="Garamond" w:hAnsi="Garamond"/>
                <w:color w:val="000000"/>
                <w:lang w:eastAsia="uk-UA"/>
              </w:rPr>
              <w:t>підприємств</w:t>
            </w:r>
            <w:r w:rsidR="004343D2" w:rsidRPr="006A3570">
              <w:rPr>
                <w:rFonts w:ascii="Garamond" w:hAnsi="Garamond"/>
                <w:color w:val="000000"/>
                <w:lang w:eastAsia="uk-UA"/>
              </w:rPr>
              <w:t>а</w:t>
            </w:r>
            <w:r w:rsidRPr="006A3570">
              <w:rPr>
                <w:rFonts w:ascii="Garamond" w:hAnsi="Garamond"/>
                <w:color w:val="000000"/>
                <w:lang w:eastAsia="uk-UA"/>
              </w:rPr>
              <w:t xml:space="preserve"> "Х")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B723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40</w:t>
            </w:r>
          </w:p>
        </w:tc>
      </w:tr>
      <w:tr w:rsidR="00A566B0" w:rsidRPr="006A3570" w14:paraId="2B8CB271" w14:textId="77777777" w:rsidTr="00A566B0">
        <w:trPr>
          <w:trHeight w:val="33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606EE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4900F" w14:textId="77777777" w:rsidR="00A566B0" w:rsidRPr="006A3570" w:rsidRDefault="00A566B0" w:rsidP="00A566B0">
            <w:pPr>
              <w:spacing w:line="216" w:lineRule="atLeast"/>
              <w:jc w:val="both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color w:val="000000"/>
                <w:lang w:eastAsia="uk-UA"/>
              </w:rPr>
              <w:t> </w:t>
            </w:r>
            <w:r w:rsidRPr="006A3570">
              <w:rPr>
                <w:rFonts w:ascii="Garamond" w:hAnsi="Garamond"/>
                <w:b/>
                <w:bCs/>
                <w:color w:val="000000"/>
                <w:lang w:eastAsia="uk-UA"/>
              </w:rPr>
              <w:t>Всього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60BF" w14:textId="77777777" w:rsidR="00A566B0" w:rsidRPr="006A3570" w:rsidRDefault="00A566B0" w:rsidP="00A566B0">
            <w:pPr>
              <w:spacing w:line="216" w:lineRule="atLeast"/>
              <w:jc w:val="center"/>
              <w:rPr>
                <w:rFonts w:ascii="Garamond" w:hAnsi="Garamond"/>
                <w:color w:val="000000"/>
                <w:lang w:eastAsia="uk-UA"/>
              </w:rPr>
            </w:pPr>
            <w:r w:rsidRPr="006A3570">
              <w:rPr>
                <w:rFonts w:ascii="Garamond" w:hAnsi="Garamond"/>
                <w:b/>
                <w:bCs/>
                <w:i/>
                <w:iCs/>
                <w:color w:val="000000"/>
                <w:lang w:eastAsia="uk-UA"/>
              </w:rPr>
              <w:t>120</w:t>
            </w:r>
          </w:p>
          <w:p w14:paraId="2CA75C4D" w14:textId="77777777" w:rsidR="00A566B0" w:rsidRPr="006A3570" w:rsidRDefault="00A566B0" w:rsidP="00A566B0">
            <w:pPr>
              <w:rPr>
                <w:rFonts w:ascii="Garamond" w:hAnsi="Garamond"/>
                <w:color w:val="000000"/>
                <w:lang w:eastAsia="uk-UA"/>
              </w:rPr>
            </w:pPr>
          </w:p>
        </w:tc>
      </w:tr>
    </w:tbl>
    <w:p w14:paraId="4FA662EE" w14:textId="77777777" w:rsidR="007868BF" w:rsidRPr="006A3570" w:rsidRDefault="007868BF">
      <w:pPr>
        <w:rPr>
          <w:rFonts w:ascii="Garamond" w:hAnsi="Garamond"/>
        </w:rPr>
      </w:pPr>
    </w:p>
    <w:p w14:paraId="0C631579" w14:textId="77777777" w:rsidR="00E7296F" w:rsidRPr="006A3570" w:rsidRDefault="00E7296F">
      <w:pPr>
        <w:rPr>
          <w:rFonts w:ascii="Garamond" w:hAnsi="Garamond"/>
        </w:rPr>
      </w:pPr>
    </w:p>
    <w:p w14:paraId="2F2DFD44" w14:textId="77777777" w:rsidR="005D7163" w:rsidRPr="006A3570" w:rsidRDefault="005D7163" w:rsidP="00E7296F">
      <w:pPr>
        <w:spacing w:before="100" w:beforeAutospacing="1" w:after="100" w:afterAutospacing="1"/>
        <w:rPr>
          <w:rFonts w:ascii="Garamond" w:hAnsi="Garamond"/>
        </w:rPr>
      </w:pPr>
    </w:p>
    <w:p w14:paraId="1EB31AC0" w14:textId="77777777" w:rsidR="005D7163" w:rsidRPr="006A3570" w:rsidRDefault="005D7163" w:rsidP="00E7296F">
      <w:pPr>
        <w:spacing w:before="100" w:beforeAutospacing="1" w:after="100" w:afterAutospacing="1"/>
        <w:rPr>
          <w:rFonts w:ascii="Garamond" w:hAnsi="Garamond"/>
        </w:rPr>
      </w:pPr>
    </w:p>
    <w:p w14:paraId="57537E45" w14:textId="77777777" w:rsidR="005D7163" w:rsidRPr="006A3570" w:rsidRDefault="005D7163" w:rsidP="00E7296F">
      <w:pPr>
        <w:spacing w:before="100" w:beforeAutospacing="1" w:after="100" w:afterAutospacing="1"/>
        <w:rPr>
          <w:rFonts w:ascii="Garamond" w:hAnsi="Garamond"/>
        </w:rPr>
      </w:pPr>
    </w:p>
    <w:p w14:paraId="15DEFF1E" w14:textId="77777777" w:rsidR="00E7296F" w:rsidRPr="006A3570" w:rsidRDefault="00E7296F">
      <w:pPr>
        <w:rPr>
          <w:rFonts w:ascii="Garamond" w:hAnsi="Garamond"/>
        </w:rPr>
      </w:pPr>
    </w:p>
    <w:sectPr w:rsidR="00E7296F" w:rsidRPr="006A3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48ED"/>
    <w:multiLevelType w:val="multilevel"/>
    <w:tmpl w:val="C048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F5A99"/>
    <w:multiLevelType w:val="multilevel"/>
    <w:tmpl w:val="AE8A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91C6C"/>
    <w:multiLevelType w:val="multilevel"/>
    <w:tmpl w:val="0230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A04825"/>
    <w:multiLevelType w:val="multilevel"/>
    <w:tmpl w:val="FEB6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031627"/>
    <w:multiLevelType w:val="multilevel"/>
    <w:tmpl w:val="1382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143EC2"/>
    <w:multiLevelType w:val="multilevel"/>
    <w:tmpl w:val="CF58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572FFE"/>
    <w:multiLevelType w:val="multilevel"/>
    <w:tmpl w:val="D17C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384786"/>
    <w:multiLevelType w:val="multilevel"/>
    <w:tmpl w:val="41EA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B0"/>
    <w:rsid w:val="00010568"/>
    <w:rsid w:val="00026031"/>
    <w:rsid w:val="000267D7"/>
    <w:rsid w:val="000535AC"/>
    <w:rsid w:val="0005464A"/>
    <w:rsid w:val="00070173"/>
    <w:rsid w:val="000739B8"/>
    <w:rsid w:val="000829EC"/>
    <w:rsid w:val="000866B6"/>
    <w:rsid w:val="00087847"/>
    <w:rsid w:val="00094DBB"/>
    <w:rsid w:val="000A4865"/>
    <w:rsid w:val="000B5AC4"/>
    <w:rsid w:val="000B71D0"/>
    <w:rsid w:val="000B7839"/>
    <w:rsid w:val="000C73F6"/>
    <w:rsid w:val="000D2B6F"/>
    <w:rsid w:val="000D723D"/>
    <w:rsid w:val="000E0327"/>
    <w:rsid w:val="000E64E4"/>
    <w:rsid w:val="000F6537"/>
    <w:rsid w:val="00107DFC"/>
    <w:rsid w:val="00110372"/>
    <w:rsid w:val="00116FFB"/>
    <w:rsid w:val="00121BBC"/>
    <w:rsid w:val="00125211"/>
    <w:rsid w:val="00137FC8"/>
    <w:rsid w:val="0014090D"/>
    <w:rsid w:val="00141E02"/>
    <w:rsid w:val="00150E7E"/>
    <w:rsid w:val="00154FC9"/>
    <w:rsid w:val="001623FE"/>
    <w:rsid w:val="0016606B"/>
    <w:rsid w:val="00167D86"/>
    <w:rsid w:val="00170668"/>
    <w:rsid w:val="001737F7"/>
    <w:rsid w:val="00181335"/>
    <w:rsid w:val="00184160"/>
    <w:rsid w:val="00197D21"/>
    <w:rsid w:val="001B5F52"/>
    <w:rsid w:val="001B5FBA"/>
    <w:rsid w:val="001B680C"/>
    <w:rsid w:val="001C279D"/>
    <w:rsid w:val="001C31BE"/>
    <w:rsid w:val="001D40B8"/>
    <w:rsid w:val="0020479A"/>
    <w:rsid w:val="00211D66"/>
    <w:rsid w:val="00211ECF"/>
    <w:rsid w:val="0022394D"/>
    <w:rsid w:val="00227F89"/>
    <w:rsid w:val="00271159"/>
    <w:rsid w:val="00295951"/>
    <w:rsid w:val="00296522"/>
    <w:rsid w:val="002B3DC4"/>
    <w:rsid w:val="002B6548"/>
    <w:rsid w:val="002B7D85"/>
    <w:rsid w:val="002E2DF4"/>
    <w:rsid w:val="002F0591"/>
    <w:rsid w:val="002F5828"/>
    <w:rsid w:val="003046FB"/>
    <w:rsid w:val="00311294"/>
    <w:rsid w:val="00334865"/>
    <w:rsid w:val="00341CC3"/>
    <w:rsid w:val="003453F6"/>
    <w:rsid w:val="003675AD"/>
    <w:rsid w:val="00372DC9"/>
    <w:rsid w:val="00381430"/>
    <w:rsid w:val="00391D2A"/>
    <w:rsid w:val="003B0649"/>
    <w:rsid w:val="003C0E1C"/>
    <w:rsid w:val="003D4AE6"/>
    <w:rsid w:val="003F22E6"/>
    <w:rsid w:val="003F4F82"/>
    <w:rsid w:val="003F721B"/>
    <w:rsid w:val="00401150"/>
    <w:rsid w:val="00403E12"/>
    <w:rsid w:val="00406FCD"/>
    <w:rsid w:val="00411871"/>
    <w:rsid w:val="00417160"/>
    <w:rsid w:val="00417236"/>
    <w:rsid w:val="00426402"/>
    <w:rsid w:val="00426AF3"/>
    <w:rsid w:val="00427F7A"/>
    <w:rsid w:val="00430A1C"/>
    <w:rsid w:val="00431C71"/>
    <w:rsid w:val="0043299E"/>
    <w:rsid w:val="004343D2"/>
    <w:rsid w:val="004378A8"/>
    <w:rsid w:val="0044661D"/>
    <w:rsid w:val="00470E56"/>
    <w:rsid w:val="004712B7"/>
    <w:rsid w:val="004739E5"/>
    <w:rsid w:val="00487661"/>
    <w:rsid w:val="00490DE7"/>
    <w:rsid w:val="00494177"/>
    <w:rsid w:val="00497EB2"/>
    <w:rsid w:val="004A4264"/>
    <w:rsid w:val="004B419E"/>
    <w:rsid w:val="004B75E1"/>
    <w:rsid w:val="004B7EDB"/>
    <w:rsid w:val="004C6E45"/>
    <w:rsid w:val="004D2227"/>
    <w:rsid w:val="004E00B5"/>
    <w:rsid w:val="004E1327"/>
    <w:rsid w:val="00507E25"/>
    <w:rsid w:val="00512374"/>
    <w:rsid w:val="00522718"/>
    <w:rsid w:val="005304F6"/>
    <w:rsid w:val="00550F3E"/>
    <w:rsid w:val="0055720E"/>
    <w:rsid w:val="0055744C"/>
    <w:rsid w:val="005644E6"/>
    <w:rsid w:val="00564686"/>
    <w:rsid w:val="005667F5"/>
    <w:rsid w:val="00580A9D"/>
    <w:rsid w:val="0058715D"/>
    <w:rsid w:val="005974F1"/>
    <w:rsid w:val="005A6545"/>
    <w:rsid w:val="005C1F0D"/>
    <w:rsid w:val="005D7163"/>
    <w:rsid w:val="005E6268"/>
    <w:rsid w:val="005F11BF"/>
    <w:rsid w:val="005F342B"/>
    <w:rsid w:val="005F4C43"/>
    <w:rsid w:val="005F750C"/>
    <w:rsid w:val="00605674"/>
    <w:rsid w:val="00606589"/>
    <w:rsid w:val="00607F7F"/>
    <w:rsid w:val="00614FD7"/>
    <w:rsid w:val="00622EBB"/>
    <w:rsid w:val="00625E56"/>
    <w:rsid w:val="0063159B"/>
    <w:rsid w:val="00631D92"/>
    <w:rsid w:val="00632532"/>
    <w:rsid w:val="006336F4"/>
    <w:rsid w:val="00635141"/>
    <w:rsid w:val="0063625E"/>
    <w:rsid w:val="006409A4"/>
    <w:rsid w:val="00651003"/>
    <w:rsid w:val="00653922"/>
    <w:rsid w:val="00674959"/>
    <w:rsid w:val="00683FBD"/>
    <w:rsid w:val="0068514B"/>
    <w:rsid w:val="00697DF7"/>
    <w:rsid w:val="006A3570"/>
    <w:rsid w:val="006A3C66"/>
    <w:rsid w:val="006B4F90"/>
    <w:rsid w:val="006C1286"/>
    <w:rsid w:val="006C379F"/>
    <w:rsid w:val="006D1C85"/>
    <w:rsid w:val="006D1D89"/>
    <w:rsid w:val="006D2FBC"/>
    <w:rsid w:val="006E626A"/>
    <w:rsid w:val="00700EA1"/>
    <w:rsid w:val="00706F53"/>
    <w:rsid w:val="0071142D"/>
    <w:rsid w:val="00715E03"/>
    <w:rsid w:val="007252B3"/>
    <w:rsid w:val="007308DF"/>
    <w:rsid w:val="00737CF5"/>
    <w:rsid w:val="0074423C"/>
    <w:rsid w:val="00746784"/>
    <w:rsid w:val="00770088"/>
    <w:rsid w:val="007720F0"/>
    <w:rsid w:val="007868BF"/>
    <w:rsid w:val="0079161B"/>
    <w:rsid w:val="00791C5A"/>
    <w:rsid w:val="00793350"/>
    <w:rsid w:val="007945B1"/>
    <w:rsid w:val="007A7CD5"/>
    <w:rsid w:val="007B5BAC"/>
    <w:rsid w:val="007C0104"/>
    <w:rsid w:val="007C7721"/>
    <w:rsid w:val="007D3984"/>
    <w:rsid w:val="007F57F9"/>
    <w:rsid w:val="00831ADE"/>
    <w:rsid w:val="00832202"/>
    <w:rsid w:val="008646DB"/>
    <w:rsid w:val="00866B94"/>
    <w:rsid w:val="00872AE5"/>
    <w:rsid w:val="008A5576"/>
    <w:rsid w:val="008B06B1"/>
    <w:rsid w:val="008C3CEB"/>
    <w:rsid w:val="008C4FD6"/>
    <w:rsid w:val="008D39B3"/>
    <w:rsid w:val="008E4AAF"/>
    <w:rsid w:val="00907FDA"/>
    <w:rsid w:val="00911C32"/>
    <w:rsid w:val="009223A3"/>
    <w:rsid w:val="009247D9"/>
    <w:rsid w:val="00934A09"/>
    <w:rsid w:val="0093591E"/>
    <w:rsid w:val="0094207B"/>
    <w:rsid w:val="00952022"/>
    <w:rsid w:val="00962774"/>
    <w:rsid w:val="00981B95"/>
    <w:rsid w:val="00993C0D"/>
    <w:rsid w:val="009A0F4A"/>
    <w:rsid w:val="009B057B"/>
    <w:rsid w:val="009D00FB"/>
    <w:rsid w:val="009D22F8"/>
    <w:rsid w:val="009D4A46"/>
    <w:rsid w:val="009E1AD7"/>
    <w:rsid w:val="009E26D4"/>
    <w:rsid w:val="009E2DFB"/>
    <w:rsid w:val="009F1AC2"/>
    <w:rsid w:val="00A05548"/>
    <w:rsid w:val="00A1182B"/>
    <w:rsid w:val="00A161B3"/>
    <w:rsid w:val="00A167D8"/>
    <w:rsid w:val="00A40E45"/>
    <w:rsid w:val="00A566B0"/>
    <w:rsid w:val="00A56D3C"/>
    <w:rsid w:val="00A71C4D"/>
    <w:rsid w:val="00A8017E"/>
    <w:rsid w:val="00A8181E"/>
    <w:rsid w:val="00A95372"/>
    <w:rsid w:val="00AB074A"/>
    <w:rsid w:val="00AB5D7D"/>
    <w:rsid w:val="00AC7FAD"/>
    <w:rsid w:val="00AE0152"/>
    <w:rsid w:val="00AF44B5"/>
    <w:rsid w:val="00AF7515"/>
    <w:rsid w:val="00B05168"/>
    <w:rsid w:val="00B2020F"/>
    <w:rsid w:val="00B2593C"/>
    <w:rsid w:val="00B422D9"/>
    <w:rsid w:val="00B70F80"/>
    <w:rsid w:val="00B73FE2"/>
    <w:rsid w:val="00B779C9"/>
    <w:rsid w:val="00B90541"/>
    <w:rsid w:val="00B90D1A"/>
    <w:rsid w:val="00BB1409"/>
    <w:rsid w:val="00BD5171"/>
    <w:rsid w:val="00BF039A"/>
    <w:rsid w:val="00BF3382"/>
    <w:rsid w:val="00C044C6"/>
    <w:rsid w:val="00C10A55"/>
    <w:rsid w:val="00C1470E"/>
    <w:rsid w:val="00C14DC9"/>
    <w:rsid w:val="00C26CD2"/>
    <w:rsid w:val="00C31B1A"/>
    <w:rsid w:val="00C3249A"/>
    <w:rsid w:val="00C55171"/>
    <w:rsid w:val="00C734C5"/>
    <w:rsid w:val="00C95A64"/>
    <w:rsid w:val="00CB3ED1"/>
    <w:rsid w:val="00CB5F6D"/>
    <w:rsid w:val="00CB71D7"/>
    <w:rsid w:val="00CB78B2"/>
    <w:rsid w:val="00CD7D59"/>
    <w:rsid w:val="00CE3044"/>
    <w:rsid w:val="00D36E4F"/>
    <w:rsid w:val="00D40596"/>
    <w:rsid w:val="00D430E0"/>
    <w:rsid w:val="00D44172"/>
    <w:rsid w:val="00D446FE"/>
    <w:rsid w:val="00D67439"/>
    <w:rsid w:val="00D729A5"/>
    <w:rsid w:val="00D879C8"/>
    <w:rsid w:val="00D924FF"/>
    <w:rsid w:val="00D93056"/>
    <w:rsid w:val="00D934F4"/>
    <w:rsid w:val="00DA0612"/>
    <w:rsid w:val="00DB1D24"/>
    <w:rsid w:val="00DB6555"/>
    <w:rsid w:val="00DD19E8"/>
    <w:rsid w:val="00DD3DA3"/>
    <w:rsid w:val="00DE1723"/>
    <w:rsid w:val="00E05829"/>
    <w:rsid w:val="00E3612F"/>
    <w:rsid w:val="00E54B22"/>
    <w:rsid w:val="00E560D9"/>
    <w:rsid w:val="00E57B69"/>
    <w:rsid w:val="00E7296F"/>
    <w:rsid w:val="00E72EF1"/>
    <w:rsid w:val="00E825AF"/>
    <w:rsid w:val="00E830F8"/>
    <w:rsid w:val="00E8353F"/>
    <w:rsid w:val="00E94D75"/>
    <w:rsid w:val="00EC5725"/>
    <w:rsid w:val="00ED4EBF"/>
    <w:rsid w:val="00ED62EB"/>
    <w:rsid w:val="00ED6CD3"/>
    <w:rsid w:val="00EE4680"/>
    <w:rsid w:val="00EE7AA2"/>
    <w:rsid w:val="00EF7F13"/>
    <w:rsid w:val="00EF7F86"/>
    <w:rsid w:val="00F05E61"/>
    <w:rsid w:val="00F078B4"/>
    <w:rsid w:val="00F10572"/>
    <w:rsid w:val="00F20EE1"/>
    <w:rsid w:val="00F26379"/>
    <w:rsid w:val="00F27CE3"/>
    <w:rsid w:val="00F33596"/>
    <w:rsid w:val="00F4230F"/>
    <w:rsid w:val="00F44404"/>
    <w:rsid w:val="00F508E4"/>
    <w:rsid w:val="00F53930"/>
    <w:rsid w:val="00F60B0D"/>
    <w:rsid w:val="00F649ED"/>
    <w:rsid w:val="00F70F51"/>
    <w:rsid w:val="00F752C8"/>
    <w:rsid w:val="00F81730"/>
    <w:rsid w:val="00FA10B2"/>
    <w:rsid w:val="00FC51D0"/>
    <w:rsid w:val="00FC6478"/>
    <w:rsid w:val="00FD2639"/>
    <w:rsid w:val="00FF40F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1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29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2">
    <w:name w:val="xfmc2"/>
    <w:basedOn w:val="a"/>
    <w:rsid w:val="00A566B0"/>
    <w:pPr>
      <w:spacing w:before="100" w:beforeAutospacing="1" w:after="100" w:afterAutospacing="1"/>
    </w:pPr>
    <w:rPr>
      <w:lang w:eastAsia="uk-UA"/>
    </w:rPr>
  </w:style>
  <w:style w:type="character" w:customStyle="1" w:styleId="xfmc1">
    <w:name w:val="xfmc1"/>
    <w:basedOn w:val="a0"/>
    <w:rsid w:val="00A566B0"/>
  </w:style>
  <w:style w:type="paragraph" w:styleId="a3">
    <w:name w:val="Normal (Web)"/>
    <w:basedOn w:val="a"/>
    <w:uiPriority w:val="99"/>
    <w:semiHidden/>
    <w:unhideWhenUsed/>
    <w:rsid w:val="00A566B0"/>
    <w:pPr>
      <w:spacing w:before="100" w:beforeAutospacing="1" w:after="100" w:afterAutospacing="1"/>
    </w:pPr>
    <w:rPr>
      <w:lang w:eastAsia="uk-UA"/>
    </w:rPr>
  </w:style>
  <w:style w:type="paragraph" w:customStyle="1" w:styleId="xfmc4">
    <w:name w:val="xfmc4"/>
    <w:basedOn w:val="a"/>
    <w:rsid w:val="00A566B0"/>
    <w:pPr>
      <w:spacing w:before="100" w:beforeAutospacing="1" w:after="100" w:afterAutospacing="1"/>
    </w:pPr>
    <w:rPr>
      <w:lang w:eastAsia="uk-UA"/>
    </w:rPr>
  </w:style>
  <w:style w:type="character" w:customStyle="1" w:styleId="xfmc8">
    <w:name w:val="xfmc8"/>
    <w:basedOn w:val="a0"/>
    <w:rsid w:val="00A566B0"/>
  </w:style>
  <w:style w:type="paragraph" w:customStyle="1" w:styleId="xfmc9">
    <w:name w:val="xfmc9"/>
    <w:basedOn w:val="a"/>
    <w:rsid w:val="00A566B0"/>
    <w:pPr>
      <w:spacing w:before="100" w:beforeAutospacing="1" w:after="100" w:afterAutospacing="1"/>
    </w:pPr>
    <w:rPr>
      <w:lang w:eastAsia="uk-UA"/>
    </w:rPr>
  </w:style>
  <w:style w:type="character" w:customStyle="1" w:styleId="xfmc6">
    <w:name w:val="xfmc6"/>
    <w:basedOn w:val="a0"/>
    <w:rsid w:val="00A566B0"/>
  </w:style>
  <w:style w:type="character" w:customStyle="1" w:styleId="30">
    <w:name w:val="Заголовок 3 Знак"/>
    <w:basedOn w:val="a0"/>
    <w:link w:val="3"/>
    <w:uiPriority w:val="9"/>
    <w:rsid w:val="00E729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E7296F"/>
    <w:rPr>
      <w:b/>
      <w:bCs/>
    </w:rPr>
  </w:style>
  <w:style w:type="character" w:customStyle="1" w:styleId="apple-converted-space">
    <w:name w:val="apple-converted-space"/>
    <w:basedOn w:val="a0"/>
    <w:rsid w:val="005D7163"/>
  </w:style>
  <w:style w:type="character" w:styleId="a5">
    <w:name w:val="Hyperlink"/>
    <w:basedOn w:val="a0"/>
    <w:uiPriority w:val="99"/>
    <w:semiHidden/>
    <w:unhideWhenUsed/>
    <w:rsid w:val="005D7163"/>
    <w:rPr>
      <w:color w:val="0000FF"/>
      <w:u w:val="single"/>
    </w:rPr>
  </w:style>
  <w:style w:type="character" w:customStyle="1" w:styleId="xfmc3">
    <w:name w:val="xfmc3"/>
    <w:basedOn w:val="a0"/>
    <w:rsid w:val="00872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29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2">
    <w:name w:val="xfmc2"/>
    <w:basedOn w:val="a"/>
    <w:rsid w:val="00A566B0"/>
    <w:pPr>
      <w:spacing w:before="100" w:beforeAutospacing="1" w:after="100" w:afterAutospacing="1"/>
    </w:pPr>
    <w:rPr>
      <w:lang w:eastAsia="uk-UA"/>
    </w:rPr>
  </w:style>
  <w:style w:type="character" w:customStyle="1" w:styleId="xfmc1">
    <w:name w:val="xfmc1"/>
    <w:basedOn w:val="a0"/>
    <w:rsid w:val="00A566B0"/>
  </w:style>
  <w:style w:type="paragraph" w:styleId="a3">
    <w:name w:val="Normal (Web)"/>
    <w:basedOn w:val="a"/>
    <w:uiPriority w:val="99"/>
    <w:semiHidden/>
    <w:unhideWhenUsed/>
    <w:rsid w:val="00A566B0"/>
    <w:pPr>
      <w:spacing w:before="100" w:beforeAutospacing="1" w:after="100" w:afterAutospacing="1"/>
    </w:pPr>
    <w:rPr>
      <w:lang w:eastAsia="uk-UA"/>
    </w:rPr>
  </w:style>
  <w:style w:type="paragraph" w:customStyle="1" w:styleId="xfmc4">
    <w:name w:val="xfmc4"/>
    <w:basedOn w:val="a"/>
    <w:rsid w:val="00A566B0"/>
    <w:pPr>
      <w:spacing w:before="100" w:beforeAutospacing="1" w:after="100" w:afterAutospacing="1"/>
    </w:pPr>
    <w:rPr>
      <w:lang w:eastAsia="uk-UA"/>
    </w:rPr>
  </w:style>
  <w:style w:type="character" w:customStyle="1" w:styleId="xfmc8">
    <w:name w:val="xfmc8"/>
    <w:basedOn w:val="a0"/>
    <w:rsid w:val="00A566B0"/>
  </w:style>
  <w:style w:type="paragraph" w:customStyle="1" w:styleId="xfmc9">
    <w:name w:val="xfmc9"/>
    <w:basedOn w:val="a"/>
    <w:rsid w:val="00A566B0"/>
    <w:pPr>
      <w:spacing w:before="100" w:beforeAutospacing="1" w:after="100" w:afterAutospacing="1"/>
    </w:pPr>
    <w:rPr>
      <w:lang w:eastAsia="uk-UA"/>
    </w:rPr>
  </w:style>
  <w:style w:type="character" w:customStyle="1" w:styleId="xfmc6">
    <w:name w:val="xfmc6"/>
    <w:basedOn w:val="a0"/>
    <w:rsid w:val="00A566B0"/>
  </w:style>
  <w:style w:type="character" w:customStyle="1" w:styleId="30">
    <w:name w:val="Заголовок 3 Знак"/>
    <w:basedOn w:val="a0"/>
    <w:link w:val="3"/>
    <w:uiPriority w:val="9"/>
    <w:rsid w:val="00E729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E7296F"/>
    <w:rPr>
      <w:b/>
      <w:bCs/>
    </w:rPr>
  </w:style>
  <w:style w:type="character" w:customStyle="1" w:styleId="apple-converted-space">
    <w:name w:val="apple-converted-space"/>
    <w:basedOn w:val="a0"/>
    <w:rsid w:val="005D7163"/>
  </w:style>
  <w:style w:type="character" w:styleId="a5">
    <w:name w:val="Hyperlink"/>
    <w:basedOn w:val="a0"/>
    <w:uiPriority w:val="99"/>
    <w:semiHidden/>
    <w:unhideWhenUsed/>
    <w:rsid w:val="005D7163"/>
    <w:rPr>
      <w:color w:val="0000FF"/>
      <w:u w:val="single"/>
    </w:rPr>
  </w:style>
  <w:style w:type="character" w:customStyle="1" w:styleId="xfmc3">
    <w:name w:val="xfmc3"/>
    <w:basedOn w:val="a0"/>
    <w:rsid w:val="00872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3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5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38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26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07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33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79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6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05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4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62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5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4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37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7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1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3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7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7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3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18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8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4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04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7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1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1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74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11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68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2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8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8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7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5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9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82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4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1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2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9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3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69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34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5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1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09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0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2025-10-19T18:26:00Z</dcterms:created>
  <dcterms:modified xsi:type="dcterms:W3CDTF">2025-10-19T18:26:00Z</dcterms:modified>
</cp:coreProperties>
</file>