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594A74" w14:textId="77777777" w:rsidR="005B63F8" w:rsidRPr="00A3250B" w:rsidRDefault="005B63F8" w:rsidP="005B63F8">
      <w:pPr>
        <w:spacing w:after="160"/>
        <w:jc w:val="center"/>
        <w:rPr>
          <w:color w:val="000000" w:themeColor="text1"/>
        </w:rPr>
      </w:pPr>
      <w:r w:rsidRPr="00A3250B">
        <w:rPr>
          <w:noProof/>
          <w:color w:val="000000" w:themeColor="text1"/>
        </w:rPr>
        <w:drawing>
          <wp:inline distT="0" distB="0" distL="0" distR="0" wp14:anchorId="2C39126D" wp14:editId="2484A6C8">
            <wp:extent cx="6300000" cy="9041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_strip.png"/>
                    <pic:cNvPicPr/>
                  </pic:nvPicPr>
                  <pic:blipFill>
                    <a:blip r:embed="rId5"/>
                    <a:stretch>
                      <a:fillRect/>
                    </a:stretch>
                  </pic:blipFill>
                  <pic:spPr>
                    <a:xfrm>
                      <a:off x="0" y="0"/>
                      <a:ext cx="6300000" cy="904167"/>
                    </a:xfrm>
                    <a:prstGeom prst="rect">
                      <a:avLst/>
                    </a:prstGeom>
                  </pic:spPr>
                </pic:pic>
              </a:graphicData>
            </a:graphic>
          </wp:inline>
        </w:drawing>
      </w:r>
    </w:p>
    <w:p w14:paraId="4B05913F" w14:textId="77777777" w:rsidR="003671A3" w:rsidRPr="00A3250B" w:rsidRDefault="003671A3" w:rsidP="003671A3">
      <w:pPr>
        <w:pStyle w:val="pdq2pgselectionanchorcontainer"/>
        <w:jc w:val="center"/>
        <w:rPr>
          <w:rStyle w:val="Strong"/>
          <w:sz w:val="22"/>
          <w:szCs w:val="22"/>
          <w:lang w:val="en-US"/>
        </w:rPr>
      </w:pPr>
      <w:r w:rsidRPr="00A3250B">
        <w:rPr>
          <w:rStyle w:val="Strong"/>
          <w:sz w:val="22"/>
          <w:szCs w:val="22"/>
        </w:rPr>
        <w:t>ICFM &amp; ICB PROFESSIONAL AWARDS REGULATIONS</w:t>
      </w:r>
      <w:r w:rsidRPr="00A3250B">
        <w:rPr>
          <w:sz w:val="22"/>
          <w:szCs w:val="22"/>
        </w:rPr>
        <w:br/>
      </w:r>
      <w:r w:rsidRPr="00A3250B">
        <w:rPr>
          <w:rStyle w:val="Strong"/>
          <w:sz w:val="22"/>
          <w:szCs w:val="22"/>
        </w:rPr>
        <w:t>Nomination Categories and Award Requirements</w:t>
      </w:r>
    </w:p>
    <w:p w14:paraId="688A391A" w14:textId="5A09F4EA" w:rsidR="005B63F8" w:rsidRPr="00A3250B" w:rsidRDefault="005B63F8" w:rsidP="005B63F8">
      <w:pPr>
        <w:pStyle w:val="pdq2pgselectionanchorcontainer"/>
        <w:rPr>
          <w:color w:val="000000" w:themeColor="text1"/>
          <w:sz w:val="22"/>
          <w:szCs w:val="22"/>
        </w:rPr>
      </w:pPr>
      <w:r w:rsidRPr="00A3250B">
        <w:rPr>
          <w:color w:val="000000" w:themeColor="text1"/>
          <w:sz w:val="22"/>
          <w:szCs w:val="22"/>
        </w:rPr>
        <w:t>Each nomination and each candidate is reviewed and approved by ICFM &amp; ICB Ukraine through an additional petition, taking into account the approved criteria and a recommendation to London.</w:t>
      </w:r>
    </w:p>
    <w:p w14:paraId="19BD890B" w14:textId="77777777" w:rsidR="005B63F8" w:rsidRPr="00A3250B" w:rsidRDefault="005B63F8" w:rsidP="005B63F8">
      <w:pPr>
        <w:pStyle w:val="NormalWeb"/>
        <w:rPr>
          <w:color w:val="000000" w:themeColor="text1"/>
          <w:sz w:val="22"/>
          <w:szCs w:val="22"/>
        </w:rPr>
      </w:pPr>
      <w:r w:rsidRPr="00A3250B">
        <w:rPr>
          <w:color w:val="000000" w:themeColor="text1"/>
          <w:sz w:val="22"/>
          <w:szCs w:val="22"/>
        </w:rPr>
        <w:t>Approved nominees must be personally present at the Awards ceremony in London in order to receive the award.</w:t>
      </w:r>
    </w:p>
    <w:p w14:paraId="04FB8EF7" w14:textId="3C03BEEF" w:rsidR="00AA4EFA" w:rsidRPr="00A3250B" w:rsidRDefault="00AA4EFA" w:rsidP="005B63F8">
      <w:pPr>
        <w:pStyle w:val="NormalWeb"/>
        <w:rPr>
          <w:color w:val="000000" w:themeColor="text1"/>
          <w:sz w:val="22"/>
          <w:szCs w:val="22"/>
          <w:lang w:val="en-US"/>
        </w:rPr>
      </w:pPr>
      <w:r w:rsidRPr="00A3250B">
        <w:rPr>
          <w:sz w:val="22"/>
          <w:szCs w:val="22"/>
        </w:rPr>
        <w:t>Mandatory conditions include the candidate’s good business and professional reputation and compliance with professional ethics. Depending on the relevant nomination category, partnership relations, tutoring activities, or the status of an accredited ICFM &amp; ICB center may also be taken into account.</w:t>
      </w:r>
    </w:p>
    <w:p w14:paraId="6C1652E7" w14:textId="77777777" w:rsidR="005B63F8" w:rsidRPr="00A3250B" w:rsidRDefault="005B63F8" w:rsidP="005B63F8">
      <w:pPr>
        <w:pStyle w:val="NormalWeb"/>
        <w:rPr>
          <w:color w:val="000000" w:themeColor="text1"/>
          <w:sz w:val="22"/>
          <w:szCs w:val="22"/>
          <w:lang w:val="en-US"/>
        </w:rPr>
      </w:pPr>
      <w:r w:rsidRPr="00A3250B">
        <w:rPr>
          <w:color w:val="000000" w:themeColor="text1"/>
          <w:sz w:val="22"/>
          <w:szCs w:val="22"/>
        </w:rPr>
        <w:t>The nomination categories and the submission of candidates to London are carried out exclusively through ICFM &amp; ICB Ukraine or the representative offices of other participating countries. The criteria and conditions of participation for receiving the awards are approved by the International Board of Directors of ICB Global &amp; ICFM.</w:t>
      </w:r>
    </w:p>
    <w:p w14:paraId="5A0EA221" w14:textId="77777777" w:rsidR="00AA4EFA" w:rsidRPr="00A3250B" w:rsidRDefault="00AA4EFA" w:rsidP="005B63F8">
      <w:pPr>
        <w:pStyle w:val="NormalWeb"/>
        <w:rPr>
          <w:sz w:val="22"/>
          <w:szCs w:val="22"/>
          <w:lang w:val="en-US"/>
        </w:rPr>
      </w:pPr>
      <w:r w:rsidRPr="00A3250B">
        <w:rPr>
          <w:sz w:val="22"/>
          <w:szCs w:val="22"/>
        </w:rPr>
        <w:t>A mandatory condition, where applicable to the relevant nomination category, is the participation of candidates in ICFM &amp; ICB programs, or the participation of their managers.</w:t>
      </w:r>
    </w:p>
    <w:p w14:paraId="0F72A696" w14:textId="129E32C6" w:rsidR="005B63F8" w:rsidRPr="00A3250B" w:rsidRDefault="005B63F8" w:rsidP="005B63F8">
      <w:pPr>
        <w:pStyle w:val="NormalWeb"/>
        <w:rPr>
          <w:color w:val="000000" w:themeColor="text1"/>
          <w:sz w:val="22"/>
          <w:szCs w:val="22"/>
        </w:rPr>
      </w:pPr>
      <w:r w:rsidRPr="00A3250B">
        <w:rPr>
          <w:color w:val="000000" w:themeColor="text1"/>
          <w:sz w:val="22"/>
          <w:szCs w:val="22"/>
        </w:rPr>
        <w:t>Approved nominees must be personally present at the Awards ceremony in London in order to receive the award, except in circumstances related to revolutions, wars, natural disasters, and COVID-related restrictions.</w:t>
      </w:r>
    </w:p>
    <w:p w14:paraId="3C6D7D8B" w14:textId="77777777" w:rsidR="005B63F8" w:rsidRPr="00A3250B" w:rsidRDefault="005B63F8" w:rsidP="005B63F8">
      <w:pPr>
        <w:pStyle w:val="NormalWeb"/>
        <w:rPr>
          <w:rStyle w:val="Strong"/>
          <w:color w:val="000000" w:themeColor="text1"/>
          <w:sz w:val="22"/>
          <w:szCs w:val="22"/>
          <w:lang w:val="en-US"/>
        </w:rPr>
      </w:pPr>
      <w:r w:rsidRPr="00A3250B">
        <w:rPr>
          <w:rStyle w:val="Strong"/>
          <w:color w:val="000000" w:themeColor="text1"/>
          <w:sz w:val="22"/>
          <w:szCs w:val="22"/>
        </w:rPr>
        <w:t>ICFM UK &amp; ICB Ukraine Nomination Categories</w:t>
      </w:r>
    </w:p>
    <w:p w14:paraId="632D490B"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t>1. The Best Student of the Year</w:t>
      </w:r>
    </w:p>
    <w:p w14:paraId="5B581804"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Awarded for </w:t>
      </w:r>
      <w:r w:rsidRPr="00A3250B">
        <w:rPr>
          <w:rStyle w:val="Strong"/>
          <w:color w:val="000000" w:themeColor="text1"/>
          <w:sz w:val="22"/>
          <w:szCs w:val="22"/>
        </w:rPr>
        <w:t>outstanding results in professional education</w:t>
      </w:r>
      <w:r w:rsidRPr="00A3250B">
        <w:rPr>
          <w:color w:val="000000" w:themeColor="text1"/>
          <w:sz w:val="22"/>
          <w:szCs w:val="22"/>
        </w:rPr>
        <w:t>, a high level of knowledge, examination performance, the ability to apply acquired knowledge in practice, the quality of professional assignments, continuing professional development, and compliance with professional ethics. The recipient is selected through comparative evaluation of the candidates’ results.</w:t>
      </w:r>
    </w:p>
    <w:p w14:paraId="5D9E364E"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t>2. The Best Financial Manager of the Year</w:t>
      </w:r>
    </w:p>
    <w:p w14:paraId="19963AE9"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The evaluation considers </w:t>
      </w:r>
      <w:r w:rsidRPr="00A3250B">
        <w:rPr>
          <w:rStyle w:val="Strong"/>
          <w:color w:val="000000" w:themeColor="text1"/>
          <w:sz w:val="22"/>
          <w:szCs w:val="22"/>
        </w:rPr>
        <w:t>outstanding professional results in financial management</w:t>
      </w:r>
      <w:r w:rsidRPr="00A3250B">
        <w:rPr>
          <w:color w:val="000000" w:themeColor="text1"/>
          <w:sz w:val="22"/>
          <w:szCs w:val="22"/>
        </w:rPr>
        <w:t>, the effectiveness of managerial decisions, practical impact on the financial performance or management system of an organization, implementation of professional methodologies and tools, professional development, qualifications, reputation, and ethics.</w:t>
      </w:r>
    </w:p>
    <w:p w14:paraId="335EB7B0"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t>3. The Best Financial Director of the Year</w:t>
      </w:r>
    </w:p>
    <w:p w14:paraId="53B9B9DF"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Awarded for </w:t>
      </w:r>
      <w:r w:rsidRPr="00A3250B">
        <w:rPr>
          <w:rStyle w:val="Strong"/>
          <w:color w:val="000000" w:themeColor="text1"/>
          <w:sz w:val="22"/>
          <w:szCs w:val="22"/>
        </w:rPr>
        <w:t>outstanding achievements in strategic financial management</w:t>
      </w:r>
      <w:r w:rsidRPr="00A3250B">
        <w:rPr>
          <w:color w:val="000000" w:themeColor="text1"/>
          <w:sz w:val="22"/>
          <w:szCs w:val="22"/>
        </w:rPr>
        <w:t>, financial sustainability, risk management, planning, control, financial reporting, and development of the financial function of an organization. Documented results and their impact on the organization are taken into account.</w:t>
      </w:r>
    </w:p>
    <w:p w14:paraId="171C7F2C"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t>4. The Best Internal Auditor of the Year</w:t>
      </w:r>
    </w:p>
    <w:p w14:paraId="3B4788B0"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The evaluation considers </w:t>
      </w:r>
      <w:r w:rsidRPr="00A3250B">
        <w:rPr>
          <w:rStyle w:val="Strong"/>
          <w:color w:val="000000" w:themeColor="text1"/>
          <w:sz w:val="22"/>
          <w:szCs w:val="22"/>
        </w:rPr>
        <w:t>significant achievements in internal audit</w:t>
      </w:r>
      <w:r w:rsidRPr="00A3250B">
        <w:rPr>
          <w:color w:val="000000" w:themeColor="text1"/>
          <w:sz w:val="22"/>
          <w:szCs w:val="22"/>
        </w:rPr>
        <w:t>, development and implementation of audit methodologies, risk-based approaches, identification and mitigation of risks, improvement of internal control systems, practical impact of audit recommendations, professional qualifications, reputation, and ethics.</w:t>
      </w:r>
    </w:p>
    <w:p w14:paraId="42538946"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lastRenderedPageBreak/>
        <w:t>5. The Best Financial Controller of the Year</w:t>
      </w:r>
    </w:p>
    <w:p w14:paraId="19C62B42"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Awarded for </w:t>
      </w:r>
      <w:r w:rsidRPr="00A3250B">
        <w:rPr>
          <w:rStyle w:val="Strong"/>
          <w:color w:val="000000" w:themeColor="text1"/>
          <w:sz w:val="22"/>
          <w:szCs w:val="22"/>
        </w:rPr>
        <w:t>outstanding results in financial control</w:t>
      </w:r>
      <w:r w:rsidRPr="00A3250B">
        <w:rPr>
          <w:color w:val="000000" w:themeColor="text1"/>
          <w:sz w:val="22"/>
          <w:szCs w:val="22"/>
        </w:rPr>
        <w:t>, improvement of the reliability of financial information, enhancement of control systems, budgeting and management reporting, prevention of financial risks, and practical application of professional methodologies.</w:t>
      </w:r>
    </w:p>
    <w:p w14:paraId="62763ADF"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t>6. For Contribution to the Development of the Profession of Financial Manager</w:t>
      </w:r>
    </w:p>
    <w:p w14:paraId="6CBD6A2E"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Awarded for a </w:t>
      </w:r>
      <w:r w:rsidRPr="00A3250B">
        <w:rPr>
          <w:rStyle w:val="Strong"/>
          <w:color w:val="000000" w:themeColor="text1"/>
          <w:sz w:val="22"/>
          <w:szCs w:val="22"/>
        </w:rPr>
        <w:t>documented significant contribution to the development of the financial management profession</w:t>
      </w:r>
      <w:r w:rsidRPr="00A3250B">
        <w:rPr>
          <w:color w:val="000000" w:themeColor="text1"/>
          <w:sz w:val="22"/>
          <w:szCs w:val="22"/>
        </w:rPr>
        <w:t>, including the creation and practical application of methodologies, models, professional standards, or tools; scholarly and professional publications; and demonstrated impact on financial management, accounting, audit, internal control, risk management, or related fields.</w:t>
      </w:r>
    </w:p>
    <w:p w14:paraId="399F5980"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t>7. For Contribution to the Development of IFRS in the Country</w:t>
      </w:r>
    </w:p>
    <w:p w14:paraId="313967D5"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Awarded for </w:t>
      </w:r>
      <w:r w:rsidRPr="00A3250B">
        <w:rPr>
          <w:rStyle w:val="Strong"/>
          <w:color w:val="000000" w:themeColor="text1"/>
          <w:sz w:val="22"/>
          <w:szCs w:val="22"/>
        </w:rPr>
        <w:t>significant documented achievements in the implementation, development, or practical application of International Financial Reporting Standards (IFRS)</w:t>
      </w:r>
      <w:r w:rsidRPr="00A3250B">
        <w:rPr>
          <w:color w:val="000000" w:themeColor="text1"/>
          <w:sz w:val="22"/>
          <w:szCs w:val="22"/>
        </w:rPr>
        <w:t>, including methodological developments, their use by organizations, their impact on the quality of financial reporting, accounting, audit, internal control, and financial management, as well as professional or scholarly publications in the field of IFRS.</w:t>
      </w:r>
    </w:p>
    <w:p w14:paraId="0251122D"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t>8. For Contribution to the Development of ICB &amp; ICFM UK Ukraine</w:t>
      </w:r>
    </w:p>
    <w:p w14:paraId="7B32F9DF"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The evaluation considers a </w:t>
      </w:r>
      <w:r w:rsidRPr="00A3250B">
        <w:rPr>
          <w:rStyle w:val="Strong"/>
          <w:color w:val="000000" w:themeColor="text1"/>
          <w:sz w:val="22"/>
          <w:szCs w:val="22"/>
        </w:rPr>
        <w:t>significant contribution to the development of ICB/ICFM professional activities</w:t>
      </w:r>
      <w:r w:rsidRPr="00A3250B">
        <w:rPr>
          <w:color w:val="000000" w:themeColor="text1"/>
          <w:sz w:val="22"/>
          <w:szCs w:val="22"/>
        </w:rPr>
        <w:t>, including the creation and implementation of professional, educational, or methodological initiatives, development of international professional cooperation, advancement of professional standards, and documented impact on the activities of the organization.</w:t>
      </w:r>
    </w:p>
    <w:p w14:paraId="6DA8E2B0"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t>9. The Best Tutor of the Year</w:t>
      </w:r>
    </w:p>
    <w:p w14:paraId="030D6251"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Awarded for </w:t>
      </w:r>
      <w:r w:rsidRPr="00A3250B">
        <w:rPr>
          <w:rStyle w:val="Strong"/>
          <w:color w:val="000000" w:themeColor="text1"/>
          <w:sz w:val="22"/>
          <w:szCs w:val="22"/>
        </w:rPr>
        <w:t>outstanding results in professional education</w:t>
      </w:r>
      <w:r w:rsidRPr="00A3250B">
        <w:rPr>
          <w:color w:val="000000" w:themeColor="text1"/>
          <w:sz w:val="22"/>
          <w:szCs w:val="22"/>
        </w:rPr>
        <w:t>, quality of teaching, student achievement, creation of original educational and methodological materials, innovative teaching methods, contribution to students’ professional development, and results of independent evaluation of teaching activities.</w:t>
      </w:r>
    </w:p>
    <w:p w14:paraId="338171F4"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t>10. The Best Educational Center of the Year</w:t>
      </w:r>
    </w:p>
    <w:p w14:paraId="07FD5DC9"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The evaluation considers </w:t>
      </w:r>
      <w:r w:rsidRPr="00A3250B">
        <w:rPr>
          <w:rStyle w:val="Strong"/>
          <w:color w:val="000000" w:themeColor="text1"/>
          <w:sz w:val="22"/>
          <w:szCs w:val="22"/>
        </w:rPr>
        <w:t>the quality and results of professional education</w:t>
      </w:r>
      <w:r w:rsidRPr="00A3250B">
        <w:rPr>
          <w:color w:val="000000" w:themeColor="text1"/>
          <w:sz w:val="22"/>
          <w:szCs w:val="22"/>
        </w:rPr>
        <w:t>, graduate achievement, implementation of international educational and professional standards, methodological innovation, development of professional programs, scale and sustainability of results, and the professional reputation of the center.</w:t>
      </w:r>
    </w:p>
    <w:p w14:paraId="1E039EB8"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t>11. The Best Methodologist of the Year</w:t>
      </w:r>
    </w:p>
    <w:p w14:paraId="0BECC340"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Awarded for the </w:t>
      </w:r>
      <w:r w:rsidRPr="00A3250B">
        <w:rPr>
          <w:rStyle w:val="Strong"/>
          <w:color w:val="000000" w:themeColor="text1"/>
          <w:sz w:val="22"/>
          <w:szCs w:val="22"/>
        </w:rPr>
        <w:t>development of significant original methodologies, educational or professional materials</w:t>
      </w:r>
      <w:r w:rsidRPr="00A3250B">
        <w:rPr>
          <w:color w:val="000000" w:themeColor="text1"/>
          <w:sz w:val="22"/>
          <w:szCs w:val="22"/>
        </w:rPr>
        <w:t>, their practical implementation, use by other professionals or organizations, professional publications, peer review activity, and documented impact on the relevant professional field.</w:t>
      </w:r>
    </w:p>
    <w:p w14:paraId="150B2FE4"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t>12. The Best Management in the Management of the Organization</w:t>
      </w:r>
    </w:p>
    <w:p w14:paraId="6938F5CC"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The evaluation considers </w:t>
      </w:r>
      <w:r w:rsidRPr="00A3250B">
        <w:rPr>
          <w:rStyle w:val="Strong"/>
          <w:color w:val="000000" w:themeColor="text1"/>
          <w:sz w:val="22"/>
          <w:szCs w:val="22"/>
        </w:rPr>
        <w:t>outstanding managerial results</w:t>
      </w:r>
      <w:r w:rsidRPr="00A3250B">
        <w:rPr>
          <w:color w:val="000000" w:themeColor="text1"/>
          <w:sz w:val="22"/>
          <w:szCs w:val="22"/>
        </w:rPr>
        <w:t>, effectiveness of organizational and strategic decisions, improvement of financial and operational efficiency, implementation of management, control, and risk-management systems, and documented impact on the organization’s performance.</w:t>
      </w:r>
    </w:p>
    <w:p w14:paraId="493A873F"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t>13. The Best Employer of the Year</w:t>
      </w:r>
    </w:p>
    <w:p w14:paraId="65636A8E"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Awarded to an organization for </w:t>
      </w:r>
      <w:r w:rsidRPr="00A3250B">
        <w:rPr>
          <w:rStyle w:val="Strong"/>
          <w:color w:val="000000" w:themeColor="text1"/>
          <w:sz w:val="22"/>
          <w:szCs w:val="22"/>
        </w:rPr>
        <w:t>outstanding results in the professional development of employees</w:t>
      </w:r>
      <w:r w:rsidRPr="00A3250B">
        <w:rPr>
          <w:color w:val="000000" w:themeColor="text1"/>
          <w:sz w:val="22"/>
          <w:szCs w:val="22"/>
        </w:rPr>
        <w:t>, creation of effective training and CPD systems, development of professional competencies, implementation of high standards of professional and business ethics, and documented results of human-resources policies.</w:t>
      </w:r>
    </w:p>
    <w:p w14:paraId="31FBAE4A"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lastRenderedPageBreak/>
        <w:t>14. The Best Company Partner of the Year</w:t>
      </w:r>
    </w:p>
    <w:p w14:paraId="1F5A2B85"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The evaluation considers a </w:t>
      </w:r>
      <w:r w:rsidRPr="00A3250B">
        <w:rPr>
          <w:rStyle w:val="Strong"/>
          <w:color w:val="000000" w:themeColor="text1"/>
          <w:sz w:val="22"/>
          <w:szCs w:val="22"/>
        </w:rPr>
        <w:t>significant contribution to the development of professional cooperation</w:t>
      </w:r>
      <w:r w:rsidRPr="00A3250B">
        <w:rPr>
          <w:color w:val="000000" w:themeColor="text1"/>
          <w:sz w:val="22"/>
          <w:szCs w:val="22"/>
        </w:rPr>
        <w:t>, implementation of joint professional, educational, or methodological projects, international partnerships, practical results of such projects, and the company’s business reputation.</w:t>
      </w:r>
    </w:p>
    <w:p w14:paraId="6144509A"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t>15. Professional Dignity and Resilience During a Crisis</w:t>
      </w:r>
    </w:p>
    <w:p w14:paraId="14D50222"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Awarded for </w:t>
      </w:r>
      <w:r w:rsidRPr="00A3250B">
        <w:rPr>
          <w:rStyle w:val="Strong"/>
          <w:color w:val="000000" w:themeColor="text1"/>
          <w:sz w:val="22"/>
          <w:szCs w:val="22"/>
        </w:rPr>
        <w:t>outstanding professional resilience and the ability to maintain continuity, quality, and ethical standards of professional activity under crisis conditions</w:t>
      </w:r>
      <w:r w:rsidRPr="00A3250B">
        <w:rPr>
          <w:color w:val="000000" w:themeColor="text1"/>
          <w:sz w:val="22"/>
          <w:szCs w:val="22"/>
        </w:rPr>
        <w:t>, including war, economic crisis, emergencies, or other significant external challenges.</w:t>
      </w:r>
    </w:p>
    <w:p w14:paraId="4ABF9231"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t>16. The Best Organization for the Implementation and Management of International Standards</w:t>
      </w:r>
    </w:p>
    <w:p w14:paraId="3258325A"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The evaluation considers the </w:t>
      </w:r>
      <w:r w:rsidRPr="00A3250B">
        <w:rPr>
          <w:rStyle w:val="Strong"/>
          <w:color w:val="000000" w:themeColor="text1"/>
          <w:sz w:val="22"/>
          <w:szCs w:val="22"/>
        </w:rPr>
        <w:t>scale, quality, and results of implementing international professional, financial, accounting, auditing, or management standards</w:t>
      </w:r>
      <w:r w:rsidRPr="00A3250B">
        <w:rPr>
          <w:color w:val="000000" w:themeColor="text1"/>
          <w:sz w:val="22"/>
          <w:szCs w:val="22"/>
        </w:rPr>
        <w:t>, their integration into the organization’s operations, staff training, and documented practical impact.</w:t>
      </w:r>
    </w:p>
    <w:p w14:paraId="7C906448"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t>17. The Best Specialist in the Field of IFRS</w:t>
      </w:r>
    </w:p>
    <w:p w14:paraId="4A642A32"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Awarded for </w:t>
      </w:r>
      <w:r w:rsidRPr="00A3250B">
        <w:rPr>
          <w:rStyle w:val="Strong"/>
          <w:color w:val="000000" w:themeColor="text1"/>
          <w:sz w:val="22"/>
          <w:szCs w:val="22"/>
        </w:rPr>
        <w:t>outstanding professional achievements in the field of IFRS</w:t>
      </w:r>
      <w:r w:rsidRPr="00A3250B">
        <w:rPr>
          <w:color w:val="000000" w:themeColor="text1"/>
          <w:sz w:val="22"/>
          <w:szCs w:val="22"/>
        </w:rPr>
        <w:t>, including practical implementation and application of the standards, original methodologies, professional or scholarly publications, books, consulting or methodological projects, and documented impact on financial reporting or professional practice.</w:t>
      </w:r>
    </w:p>
    <w:p w14:paraId="7FB3ACBB"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t>18. The Best Specialist in the Field of Accounting of the Year</w:t>
      </w:r>
    </w:p>
    <w:p w14:paraId="2AF689B5"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The evaluation considers </w:t>
      </w:r>
      <w:r w:rsidRPr="00A3250B">
        <w:rPr>
          <w:rStyle w:val="Strong"/>
          <w:color w:val="000000" w:themeColor="text1"/>
          <w:sz w:val="22"/>
          <w:szCs w:val="22"/>
        </w:rPr>
        <w:t>outstanding professional results in accounting</w:t>
      </w:r>
      <w:r w:rsidRPr="00A3250B">
        <w:rPr>
          <w:color w:val="000000" w:themeColor="text1"/>
          <w:sz w:val="22"/>
          <w:szCs w:val="22"/>
        </w:rPr>
        <w:t>, development and implementation of methodologies, improvement of the accuracy and reliability of financial information, enhancement of accounting systems, publications, professional developments, and practical impact.</w:t>
      </w:r>
    </w:p>
    <w:p w14:paraId="4F0D9D53"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t>19. The Best Specialist in Personnel Management</w:t>
      </w:r>
    </w:p>
    <w:p w14:paraId="5859584F"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Awarded for </w:t>
      </w:r>
      <w:r w:rsidRPr="00A3250B">
        <w:rPr>
          <w:rStyle w:val="Strong"/>
          <w:color w:val="000000" w:themeColor="text1"/>
          <w:sz w:val="22"/>
          <w:szCs w:val="22"/>
        </w:rPr>
        <w:t>outstanding results in personnel and human-resources management</w:t>
      </w:r>
      <w:r w:rsidRPr="00A3250B">
        <w:rPr>
          <w:color w:val="000000" w:themeColor="text1"/>
          <w:sz w:val="22"/>
          <w:szCs w:val="22"/>
        </w:rPr>
        <w:t>, development and implementation of effective systems for workforce management, professional development, performance evaluation, motivation, and employee retention, together with documented impact on organizational performance.</w:t>
      </w:r>
    </w:p>
    <w:p w14:paraId="769DC2C3"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t>20. The Best Young Student of the Year</w:t>
      </w:r>
    </w:p>
    <w:p w14:paraId="1D459A8B"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Awarded to students of higher education institutions for </w:t>
      </w:r>
      <w:r w:rsidRPr="00A3250B">
        <w:rPr>
          <w:rStyle w:val="Strong"/>
          <w:color w:val="000000" w:themeColor="text1"/>
          <w:sz w:val="22"/>
          <w:szCs w:val="22"/>
        </w:rPr>
        <w:t>exceptional academic and professional results</w:t>
      </w:r>
      <w:r w:rsidRPr="00A3250B">
        <w:rPr>
          <w:color w:val="000000" w:themeColor="text1"/>
          <w:sz w:val="22"/>
          <w:szCs w:val="22"/>
        </w:rPr>
        <w:t>, high achievement in professional education, participation in professional or scholarly projects, competitions and research activities, and demonstrated potential for future professional achievement.</w:t>
      </w:r>
    </w:p>
    <w:p w14:paraId="124688F6"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t>21. The Best Professional in Management</w:t>
      </w:r>
    </w:p>
    <w:p w14:paraId="3700FD44"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The evaluation considers </w:t>
      </w:r>
      <w:r w:rsidRPr="00A3250B">
        <w:rPr>
          <w:rStyle w:val="Strong"/>
          <w:color w:val="000000" w:themeColor="text1"/>
          <w:sz w:val="22"/>
          <w:szCs w:val="22"/>
        </w:rPr>
        <w:t>outstanding managerial achievements</w:t>
      </w:r>
      <w:r w:rsidRPr="00A3250B">
        <w:rPr>
          <w:color w:val="000000" w:themeColor="text1"/>
          <w:sz w:val="22"/>
          <w:szCs w:val="22"/>
        </w:rPr>
        <w:t>, effectiveness of strategic and operational decisions, development and practical application of management methodologies, professional impact, organizational recommendations, professional activity, reputation, and ethics.</w:t>
      </w:r>
    </w:p>
    <w:p w14:paraId="3C00E083"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t>22. The Best Professional in Risk Management</w:t>
      </w:r>
    </w:p>
    <w:p w14:paraId="08B1CE05"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Awarded for </w:t>
      </w:r>
      <w:r w:rsidRPr="00A3250B">
        <w:rPr>
          <w:rStyle w:val="Strong"/>
          <w:color w:val="000000" w:themeColor="text1"/>
          <w:sz w:val="22"/>
          <w:szCs w:val="22"/>
        </w:rPr>
        <w:t>outstanding professional achievements in risk management</w:t>
      </w:r>
      <w:r w:rsidRPr="00A3250B">
        <w:rPr>
          <w:color w:val="000000" w:themeColor="text1"/>
          <w:sz w:val="22"/>
          <w:szCs w:val="22"/>
        </w:rPr>
        <w:t>, development and implementation of risk-management frameworks, risk assessment and control models, practical reduction of risk or improvement of organizational resilience, professional publications, and documented professional impact.</w:t>
      </w:r>
    </w:p>
    <w:p w14:paraId="283953C9"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t>23. The Best Project Management Professional</w:t>
      </w:r>
    </w:p>
    <w:p w14:paraId="3A5001D0"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The evaluation considers </w:t>
      </w:r>
      <w:r w:rsidRPr="00A3250B">
        <w:rPr>
          <w:rStyle w:val="Strong"/>
          <w:color w:val="000000" w:themeColor="text1"/>
          <w:sz w:val="22"/>
          <w:szCs w:val="22"/>
        </w:rPr>
        <w:t>outstanding results in project management</w:t>
      </w:r>
      <w:r w:rsidRPr="00A3250B">
        <w:rPr>
          <w:color w:val="000000" w:themeColor="text1"/>
          <w:sz w:val="22"/>
          <w:szCs w:val="22"/>
        </w:rPr>
        <w:t>, the complexity and scale of completed projects, achievement of established objectives, effective management of resources, risks, and teams, innovative management methods, and documented results.</w:t>
      </w:r>
    </w:p>
    <w:p w14:paraId="2A626074"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lastRenderedPageBreak/>
        <w:t>24. The Best Investment Project Management Professional</w:t>
      </w:r>
    </w:p>
    <w:p w14:paraId="1B1B1E74"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Awarded for </w:t>
      </w:r>
      <w:r w:rsidRPr="00A3250B">
        <w:rPr>
          <w:rStyle w:val="Strong"/>
          <w:color w:val="000000" w:themeColor="text1"/>
          <w:sz w:val="22"/>
          <w:szCs w:val="22"/>
        </w:rPr>
        <w:t>outstanding results in the development, evaluation, and implementation of investment projects</w:t>
      </w:r>
      <w:r w:rsidRPr="00A3250B">
        <w:rPr>
          <w:color w:val="000000" w:themeColor="text1"/>
          <w:sz w:val="22"/>
          <w:szCs w:val="22"/>
        </w:rPr>
        <w:t>, effectiveness of investment decisions, management of financial and other risks, economic or social impact of projects, and application of professional methodologies.</w:t>
      </w:r>
    </w:p>
    <w:p w14:paraId="7A6C1996" w14:textId="77777777" w:rsidR="00A56E85" w:rsidRPr="00A3250B" w:rsidRDefault="00A56E85" w:rsidP="00A56E85">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t>25. Company of the Year</w:t>
      </w:r>
    </w:p>
    <w:p w14:paraId="201E7A58" w14:textId="77777777" w:rsidR="00A56E85" w:rsidRPr="00A3250B" w:rsidRDefault="00A56E85" w:rsidP="00A56E85">
      <w:pPr>
        <w:pStyle w:val="NormalWeb"/>
        <w:rPr>
          <w:color w:val="000000" w:themeColor="text1"/>
          <w:sz w:val="22"/>
          <w:szCs w:val="22"/>
        </w:rPr>
      </w:pPr>
      <w:r w:rsidRPr="00A3250B">
        <w:rPr>
          <w:color w:val="000000" w:themeColor="text1"/>
          <w:sz w:val="22"/>
          <w:szCs w:val="22"/>
        </w:rPr>
        <w:t xml:space="preserve">The evaluation considers </w:t>
      </w:r>
      <w:r w:rsidRPr="00A3250B">
        <w:rPr>
          <w:rStyle w:val="Strong"/>
          <w:color w:val="000000" w:themeColor="text1"/>
          <w:sz w:val="22"/>
          <w:szCs w:val="22"/>
        </w:rPr>
        <w:t>outstanding company performance</w:t>
      </w:r>
      <w:r w:rsidRPr="00A3250B">
        <w:rPr>
          <w:color w:val="000000" w:themeColor="text1"/>
          <w:sz w:val="22"/>
          <w:szCs w:val="22"/>
        </w:rPr>
        <w:t>, professional and managerial innovation, financial and organizational efficiency, employee development, implementation of professional standards, business reputation, and documented contribution to the development of the relevant professional or economic field.</w:t>
      </w:r>
    </w:p>
    <w:p w14:paraId="3E8A77E5" w14:textId="77777777" w:rsidR="00A3250B" w:rsidRPr="00A3250B" w:rsidRDefault="00A56E85" w:rsidP="00A3250B">
      <w:pPr>
        <w:pStyle w:val="Heading3"/>
        <w:rPr>
          <w:rFonts w:ascii="Times New Roman" w:hAnsi="Times New Roman" w:cs="Times New Roman"/>
          <w:color w:val="000000" w:themeColor="text1"/>
        </w:rPr>
      </w:pPr>
      <w:r w:rsidRPr="00A3250B">
        <w:rPr>
          <w:rFonts w:ascii="Times New Roman" w:hAnsi="Times New Roman" w:cs="Times New Roman"/>
          <w:color w:val="000000" w:themeColor="text1"/>
        </w:rPr>
        <w:t>26. The Best Chief Accountant of the Year</w:t>
      </w:r>
    </w:p>
    <w:p w14:paraId="0953E6CC" w14:textId="4E9829DA" w:rsidR="00A56E85" w:rsidRPr="00A3250B" w:rsidRDefault="00A56E85" w:rsidP="00A3250B">
      <w:pPr>
        <w:pStyle w:val="Heading3"/>
        <w:rPr>
          <w:rFonts w:ascii="Times New Roman" w:hAnsi="Times New Roman" w:cs="Times New Roman"/>
          <w:b w:val="0"/>
          <w:bCs w:val="0"/>
          <w:color w:val="000000" w:themeColor="text1"/>
        </w:rPr>
      </w:pPr>
      <w:r w:rsidRPr="00A3250B">
        <w:rPr>
          <w:rFonts w:ascii="Times New Roman" w:hAnsi="Times New Roman" w:cs="Times New Roman"/>
          <w:b w:val="0"/>
          <w:bCs w:val="0"/>
          <w:color w:val="000000" w:themeColor="text1"/>
        </w:rPr>
        <w:t xml:space="preserve">Awarded for </w:t>
      </w:r>
      <w:r w:rsidRPr="00A3250B">
        <w:rPr>
          <w:rStyle w:val="Strong"/>
          <w:rFonts w:ascii="Times New Roman" w:hAnsi="Times New Roman" w:cs="Times New Roman"/>
          <w:b/>
          <w:bCs/>
          <w:color w:val="000000" w:themeColor="text1"/>
        </w:rPr>
        <w:t>outstanding professional achievements in accounting and financial reporting</w:t>
      </w:r>
      <w:r w:rsidRPr="00A3250B">
        <w:rPr>
          <w:rFonts w:ascii="Times New Roman" w:hAnsi="Times New Roman" w:cs="Times New Roman"/>
          <w:b w:val="0"/>
          <w:bCs w:val="0"/>
          <w:color w:val="000000" w:themeColor="text1"/>
        </w:rPr>
        <w:t>, ensuring the reliability of financial statements, implementation of IFRS or other professional standards, improvement of internal control systems, management of the accounting function, professional developments, and their documented practical impact.</w:t>
      </w:r>
    </w:p>
    <w:p w14:paraId="4942C446" w14:textId="77777777" w:rsidR="005B63F8" w:rsidRPr="00A3250B" w:rsidRDefault="005B63F8" w:rsidP="005B63F8">
      <w:pPr>
        <w:pStyle w:val="NormalWeb"/>
        <w:rPr>
          <w:rStyle w:val="Strong"/>
          <w:i/>
          <w:iCs/>
          <w:color w:val="000000" w:themeColor="text1"/>
          <w:sz w:val="22"/>
          <w:szCs w:val="22"/>
          <w:lang w:val="en-US"/>
        </w:rPr>
      </w:pPr>
      <w:r w:rsidRPr="00A3250B">
        <w:rPr>
          <w:rStyle w:val="Strong"/>
          <w:i/>
          <w:iCs/>
          <w:color w:val="000000" w:themeColor="text1"/>
          <w:sz w:val="22"/>
          <w:szCs w:val="22"/>
        </w:rPr>
        <w:t>Additional nomination categories may be introduced during the year and approved by the International Council, ICB Global, and its international Board of Directors, which manage the ICB &amp; ICFM Institutes.</w:t>
      </w:r>
    </w:p>
    <w:p w14:paraId="15A10053" w14:textId="69BA8388" w:rsidR="00A56E85" w:rsidRPr="00A3250B" w:rsidRDefault="00A56E85" w:rsidP="005B63F8">
      <w:pPr>
        <w:pStyle w:val="NormalWeb"/>
        <w:rPr>
          <w:rStyle w:val="Strong"/>
          <w:b w:val="0"/>
          <w:bCs w:val="0"/>
          <w:i/>
          <w:iCs/>
          <w:color w:val="000000" w:themeColor="text1"/>
          <w:sz w:val="22"/>
          <w:szCs w:val="22"/>
          <w:lang w:val="en-US"/>
        </w:rPr>
      </w:pPr>
      <w:r w:rsidRPr="00A3250B">
        <w:rPr>
          <w:rStyle w:val="Strong"/>
          <w:b w:val="0"/>
          <w:bCs w:val="0"/>
          <w:color w:val="000000" w:themeColor="text1"/>
          <w:sz w:val="22"/>
          <w:szCs w:val="22"/>
        </w:rPr>
        <w:t>Such additional nominations are subject to documented professional or scholarly achievements, comparative professional evaluation, professional and business reputation, compliance with professional ethics, and final approval. Meeting eligibility requirements, holding professional qualifications or membership, or participating in ICB/ICFM programs or events does not automatically entitle a candidate to receive an award. The recipient is selected on the basis of demonstrated excellence and the significance and impact of the candidate’s documented achievements in the relevant professional field.</w:t>
      </w:r>
    </w:p>
    <w:p w14:paraId="14C78B33" w14:textId="77777777" w:rsidR="00A3250B" w:rsidRPr="00A3250B" w:rsidRDefault="005B63F8" w:rsidP="005B63F8">
      <w:pPr>
        <w:pStyle w:val="NormalWeb"/>
        <w:rPr>
          <w:color w:val="000000" w:themeColor="text1"/>
          <w:sz w:val="22"/>
          <w:szCs w:val="22"/>
          <w:lang w:val="en-US"/>
        </w:rPr>
      </w:pPr>
      <w:r w:rsidRPr="00A3250B">
        <w:rPr>
          <w:rStyle w:val="Strong"/>
          <w:color w:val="000000" w:themeColor="text1"/>
          <w:sz w:val="22"/>
          <w:szCs w:val="22"/>
        </w:rPr>
        <w:t>For Information:</w:t>
      </w:r>
    </w:p>
    <w:p w14:paraId="7A440CAF" w14:textId="088BED9F" w:rsidR="005B63F8" w:rsidRPr="00A3250B" w:rsidRDefault="005B63F8" w:rsidP="005B63F8">
      <w:pPr>
        <w:pStyle w:val="NormalWeb"/>
        <w:rPr>
          <w:color w:val="000000" w:themeColor="text1"/>
          <w:sz w:val="22"/>
          <w:szCs w:val="22"/>
        </w:rPr>
      </w:pPr>
      <w:r w:rsidRPr="00A3250B">
        <w:rPr>
          <w:color w:val="000000" w:themeColor="text1"/>
          <w:sz w:val="22"/>
          <w:szCs w:val="22"/>
        </w:rPr>
        <w:t>The ICFM &amp; ICB coat of arms has official authorization from the Royal Heraldry of Great Britain.</w:t>
      </w:r>
      <w:r w:rsidR="001617C3">
        <w:rPr>
          <w:color w:val="000000" w:themeColor="text1"/>
          <w:sz w:val="22"/>
          <w:szCs w:val="22"/>
          <w:lang w:val="uk-UA"/>
        </w:rPr>
        <w:t xml:space="preserve"> </w:t>
      </w:r>
      <w:r w:rsidRPr="00A3250B">
        <w:rPr>
          <w:color w:val="000000" w:themeColor="text1"/>
          <w:sz w:val="22"/>
          <w:szCs w:val="22"/>
        </w:rPr>
        <w:t>ICB UK is the only professional bookkeepers organization that has an official charter and is accredited by 56 countries of the Commonwealth.</w:t>
      </w:r>
      <w:r w:rsidR="001617C3">
        <w:rPr>
          <w:color w:val="000000" w:themeColor="text1"/>
          <w:sz w:val="22"/>
          <w:szCs w:val="22"/>
          <w:lang w:val="uk-UA"/>
        </w:rPr>
        <w:t xml:space="preserve"> </w:t>
      </w:r>
      <w:r w:rsidRPr="00A3250B">
        <w:rPr>
          <w:color w:val="000000" w:themeColor="text1"/>
          <w:sz w:val="22"/>
          <w:szCs w:val="22"/>
        </w:rPr>
        <w:t>ICB Global and its international Board of Directors manage the ICB and ICFM Institutes.</w:t>
      </w:r>
      <w:r w:rsidR="001617C3">
        <w:rPr>
          <w:color w:val="000000" w:themeColor="text1"/>
          <w:sz w:val="22"/>
          <w:szCs w:val="22"/>
          <w:lang w:val="uk-UA"/>
        </w:rPr>
        <w:t xml:space="preserve"> </w:t>
      </w:r>
      <w:r w:rsidRPr="00A3250B">
        <w:rPr>
          <w:color w:val="000000" w:themeColor="text1"/>
          <w:sz w:val="22"/>
          <w:szCs w:val="22"/>
        </w:rPr>
        <w:t>Organizations which accredit or recognize ICB Global or its constituent organizations include the Commonwealth of Nations; the International Association for Accounting Education and Research (IAAER); the Office for Professional Body Anti-Money Laundering Supervision (OPBAS), where ICB is designated as a registered supervisory body; the Australian Taxation Office (ATO); and New Zealand Inland Revenue as an Approved Advisor.</w:t>
      </w:r>
      <w:r w:rsidR="001617C3">
        <w:rPr>
          <w:color w:val="000000" w:themeColor="text1"/>
          <w:sz w:val="22"/>
          <w:szCs w:val="22"/>
          <w:lang w:val="uk-UA"/>
        </w:rPr>
        <w:t xml:space="preserve"> </w:t>
      </w:r>
      <w:r w:rsidRPr="00A3250B">
        <w:rPr>
          <w:color w:val="000000" w:themeColor="text1"/>
          <w:sz w:val="22"/>
          <w:szCs w:val="22"/>
        </w:rPr>
        <w:t>ICB has official approval for its coat of arms from the Royal House of Heraldry. It is also recognized by His Majesty’s Treasury (HMT UK) and His Majesty’s Revenue &amp; Customs (HMRC UK). ICB is a member of the Genesis Group Council in the UK Parliament on professional knowledge of the financial sector, a member of the Committee on International Educational Standards for Accounting Education (IAESB), and an advisor to the All-Party Parliamentary Group for Small and Medium Business UK. It also cooperates with the Royal United Services Institute (RUSI UK).</w:t>
      </w:r>
    </w:p>
    <w:p w14:paraId="10DF6AC9" w14:textId="72A049EA" w:rsidR="005B63F8" w:rsidRPr="00A3250B" w:rsidRDefault="005B63F8" w:rsidP="005B63F8">
      <w:pPr>
        <w:pStyle w:val="NormalWeb"/>
        <w:rPr>
          <w:color w:val="000000" w:themeColor="text1"/>
          <w:sz w:val="22"/>
          <w:szCs w:val="22"/>
        </w:rPr>
      </w:pPr>
      <w:r w:rsidRPr="00A3250B">
        <w:rPr>
          <w:color w:val="000000" w:themeColor="text1"/>
          <w:sz w:val="22"/>
          <w:szCs w:val="22"/>
        </w:rPr>
        <w:t>ICB has many other advisory powers and coordinating functions with recognition in the UK and in 56 Commonwealth countries and cooperates and maintains partnerships with government bodies in many countries around the world.</w:t>
      </w:r>
      <w:r w:rsidR="001617C3">
        <w:rPr>
          <w:color w:val="000000" w:themeColor="text1"/>
          <w:sz w:val="22"/>
          <w:szCs w:val="22"/>
          <w:lang w:val="uk-UA"/>
        </w:rPr>
        <w:t xml:space="preserve"> </w:t>
      </w:r>
      <w:r w:rsidRPr="00A3250B">
        <w:rPr>
          <w:color w:val="000000" w:themeColor="text1"/>
          <w:sz w:val="22"/>
          <w:szCs w:val="22"/>
        </w:rPr>
        <w:t>ICB Global has official recognition and cooperates with the European Association of Accountants (EMAA), Institute of Commerce (IoC), Certified Public Accountants Association (CPAA), European Federation of Bookkeepers (EFoB), International Federation of Bookkeepers (IFoB), IAAER (USA), Institute of Chartered Accountants in England and Wales (ICAEW), and London Stock Exchange (LSE).</w:t>
      </w:r>
      <w:r w:rsidR="001617C3">
        <w:rPr>
          <w:color w:val="000000" w:themeColor="text1"/>
          <w:sz w:val="22"/>
          <w:szCs w:val="22"/>
          <w:lang w:val="uk-UA"/>
        </w:rPr>
        <w:t xml:space="preserve"> </w:t>
      </w:r>
      <w:r w:rsidRPr="00A3250B">
        <w:rPr>
          <w:color w:val="000000" w:themeColor="text1"/>
          <w:sz w:val="22"/>
          <w:szCs w:val="22"/>
        </w:rPr>
        <w:t>It has official recognition in the Philippines pursuant to a Presidential Decree, in Australia through the Australian Taxation Office, and in New Zealand as a qualification that allows holders to gain points for immigration. It has official accreditation in 56 countries of the Commonwealth of Great Britain and in other countries of Europe and the world, as well as long-term cooperation and partnerships with state institutions, European and international organizations, USAID/FINREP, IFAC, IAESB, TACIS, and others.</w:t>
      </w:r>
    </w:p>
    <w:p w14:paraId="1CD3CECF" w14:textId="674E8FB6" w:rsidR="005B63F8" w:rsidRPr="00A3250B" w:rsidRDefault="005B63F8" w:rsidP="005B63F8">
      <w:pPr>
        <w:pStyle w:val="NormalWeb"/>
        <w:rPr>
          <w:color w:val="000000" w:themeColor="text1"/>
          <w:sz w:val="22"/>
          <w:szCs w:val="22"/>
        </w:rPr>
      </w:pPr>
      <w:r w:rsidRPr="00A3250B">
        <w:rPr>
          <w:color w:val="000000" w:themeColor="text1"/>
          <w:sz w:val="22"/>
          <w:szCs w:val="22"/>
        </w:rPr>
        <w:t xml:space="preserve">ICB Global, ICB and ICFM are responsible for organizing the annual Global Summit held in London, the Inspire Tour, which is held in more than 50 cities around the world, and the global LUCA Awards, known as the “Oscar” of the financial world. The LUCA Awards recognize achievements in professional activities in the fields of accounting and finance, IFRS, management accounting and management, audit and internal audit, investment </w:t>
      </w:r>
      <w:r w:rsidRPr="00A3250B">
        <w:rPr>
          <w:color w:val="000000" w:themeColor="text1"/>
          <w:sz w:val="22"/>
          <w:szCs w:val="22"/>
        </w:rPr>
        <w:lastRenderedPageBreak/>
        <w:t>projects, software, organizations, managers, and employers.</w:t>
      </w:r>
      <w:r w:rsidR="001617C3">
        <w:rPr>
          <w:color w:val="000000" w:themeColor="text1"/>
          <w:sz w:val="22"/>
          <w:szCs w:val="22"/>
          <w:lang w:val="uk-UA"/>
        </w:rPr>
        <w:t xml:space="preserve"> </w:t>
      </w:r>
      <w:r w:rsidRPr="00A3250B">
        <w:rPr>
          <w:color w:val="000000" w:themeColor="text1"/>
          <w:sz w:val="22"/>
          <w:szCs w:val="22"/>
        </w:rPr>
        <w:t>The LUCA Awards ceremony takes place every year during Global Finance Week in November in London, Great Britain, with the participation of members of the Royal Family, representatives of business and high society, VIPs from Great Britain and around the world, and ambassadors and representatives of many participating countries.</w:t>
      </w:r>
    </w:p>
    <w:p w14:paraId="3DE9FA2F" w14:textId="6229F98E" w:rsidR="005B63F8" w:rsidRPr="00A3250B" w:rsidRDefault="005B63F8" w:rsidP="005B63F8">
      <w:pPr>
        <w:pStyle w:val="NormalWeb"/>
        <w:rPr>
          <w:color w:val="000000" w:themeColor="text1"/>
          <w:sz w:val="22"/>
          <w:szCs w:val="22"/>
        </w:rPr>
      </w:pPr>
      <w:r w:rsidRPr="00A3250B">
        <w:rPr>
          <w:color w:val="000000" w:themeColor="text1"/>
          <w:sz w:val="22"/>
          <w:szCs w:val="22"/>
        </w:rPr>
        <w:t>ICFM and ICB UK in Ukraine organize and hold international business conferences in Ukraine with official support and participation from representatives of the National Securities and Stock Market Commission of Ukraine, the Ministry of Finance of Ukraine, the National Bank of Ukraine, IFAC, IAESB, USAID, and leading representatives of the financial sector of the European Union. They are partners of Eurasian and European forums and participate in the annual World Global Summit in London, with events supported by government institutions and ministries of participating countries.</w:t>
      </w:r>
      <w:r w:rsidR="001617C3">
        <w:rPr>
          <w:color w:val="000000" w:themeColor="text1"/>
          <w:sz w:val="22"/>
          <w:szCs w:val="22"/>
          <w:lang w:val="uk-UA"/>
        </w:rPr>
        <w:t xml:space="preserve"> </w:t>
      </w:r>
      <w:r w:rsidRPr="00A3250B">
        <w:rPr>
          <w:color w:val="000000" w:themeColor="text1"/>
          <w:sz w:val="22"/>
          <w:szCs w:val="22"/>
        </w:rPr>
        <w:t>ICFM and ICB UK in Ukraine have official Memorandums “On Cooperation and Partnership” with the Ministry of Finance of Ukraine, No. 3108420-05-27/25699; with the National Securities and Stock Market Commission of Ukraine, No. 8/04102015 and No. 2023/06; with the Territorial Administration of the Bureau of Economic Security in the Kyiv Region, No. 2023/11; and with the Accounting Chamber of Ukraine, No. LHL131124.</w:t>
      </w:r>
      <w:r w:rsidR="001617C3">
        <w:rPr>
          <w:color w:val="000000" w:themeColor="text1"/>
          <w:sz w:val="22"/>
          <w:szCs w:val="22"/>
          <w:lang w:val="uk-UA"/>
        </w:rPr>
        <w:t xml:space="preserve"> </w:t>
      </w:r>
      <w:r w:rsidRPr="00A3250B">
        <w:rPr>
          <w:color w:val="000000" w:themeColor="text1"/>
          <w:sz w:val="22"/>
          <w:szCs w:val="22"/>
        </w:rPr>
        <w:t>As part of the Program for the Improvement of Education for Specialists of Regulatory Authorities of Ukraine, the Institute of ICFM and ICB Great Britain in Ukraine has, since November 2011, annually conducted free training for specialists of regulatory authorities of Ukraine.</w:t>
      </w:r>
    </w:p>
    <w:p w14:paraId="47748A91" w14:textId="609129FB" w:rsidR="005B63F8" w:rsidRPr="00A3250B" w:rsidRDefault="005B63F8" w:rsidP="005B63F8">
      <w:pPr>
        <w:pStyle w:val="NormalWeb"/>
        <w:rPr>
          <w:color w:val="000000" w:themeColor="text1"/>
          <w:sz w:val="22"/>
          <w:szCs w:val="22"/>
        </w:rPr>
      </w:pPr>
      <w:r w:rsidRPr="00A3250B">
        <w:rPr>
          <w:color w:val="000000" w:themeColor="text1"/>
          <w:sz w:val="22"/>
          <w:szCs w:val="22"/>
        </w:rPr>
        <w:t>The ICFM UK Qualification Program corresponds to Levels 5 and 9 of the National Qualifications System of Great Britain. The ICFM and ICB program comprises more than 500 hours, corresponding to professional retraining programs under international education standards.</w:t>
      </w:r>
      <w:r w:rsidR="001617C3">
        <w:rPr>
          <w:color w:val="000000" w:themeColor="text1"/>
          <w:sz w:val="22"/>
          <w:szCs w:val="22"/>
          <w:lang w:val="uk-UA"/>
        </w:rPr>
        <w:t xml:space="preserve"> </w:t>
      </w:r>
      <w:r w:rsidRPr="00A3250B">
        <w:rPr>
          <w:color w:val="000000" w:themeColor="text1"/>
          <w:sz w:val="22"/>
          <w:szCs w:val="22"/>
        </w:rPr>
        <w:t>Diplomas of the ICFM and ICB Institutes are officially recognized by the UK Treasury, approved by the Department of Trade and Industry, now known as the Department for Business, Innovation and Skills, and the British Register of Enterprises. The Institutes have official permission for their coat of arms from the Royal House of Heraldry UK, with a corresponding inscription appearing on their diplomas.</w:t>
      </w:r>
    </w:p>
    <w:p w14:paraId="5F885F82" w14:textId="255CF108" w:rsidR="005B63F8" w:rsidRPr="00A3250B" w:rsidRDefault="005B63F8" w:rsidP="005B63F8">
      <w:pPr>
        <w:pStyle w:val="NormalWeb"/>
        <w:rPr>
          <w:color w:val="000000" w:themeColor="text1"/>
          <w:sz w:val="22"/>
          <w:szCs w:val="22"/>
        </w:rPr>
      </w:pPr>
      <w:r w:rsidRPr="00A3250B">
        <w:rPr>
          <w:color w:val="000000" w:themeColor="text1"/>
          <w:sz w:val="22"/>
          <w:szCs w:val="22"/>
        </w:rPr>
        <w:t>The head office is located in London.</w:t>
      </w:r>
      <w:r w:rsidR="00A3250B" w:rsidRPr="00A3250B">
        <w:rPr>
          <w:color w:val="000000" w:themeColor="text1"/>
          <w:sz w:val="22"/>
          <w:szCs w:val="22"/>
          <w:lang w:val="en-US"/>
        </w:rPr>
        <w:t xml:space="preserve"> </w:t>
      </w:r>
      <w:r w:rsidRPr="00A3250B">
        <w:rPr>
          <w:color w:val="000000" w:themeColor="text1"/>
          <w:sz w:val="22"/>
          <w:szCs w:val="22"/>
        </w:rPr>
        <w:t>ICB Global is registered in England under No. 05722167 as a not-for-profit (NFP) organization. Its Founding Royal Patron is HRH Prince Michael of Kent GCVO CD KStJ.</w:t>
      </w:r>
      <w:r w:rsidR="001617C3">
        <w:rPr>
          <w:color w:val="000000" w:themeColor="text1"/>
          <w:sz w:val="22"/>
          <w:szCs w:val="22"/>
          <w:lang w:val="uk-UA"/>
        </w:rPr>
        <w:t xml:space="preserve"> </w:t>
      </w:r>
      <w:r w:rsidRPr="00A3250B">
        <w:rPr>
          <w:color w:val="000000" w:themeColor="text1"/>
          <w:sz w:val="22"/>
          <w:szCs w:val="22"/>
        </w:rPr>
        <w:t>ICB Global has registered more than 279,000 students and members across 168 countries. It hosts the annual Bookkeepers Summit, which takes place each year in London.</w:t>
      </w:r>
      <w:r w:rsidR="001617C3">
        <w:rPr>
          <w:color w:val="000000" w:themeColor="text1"/>
          <w:sz w:val="22"/>
          <w:szCs w:val="22"/>
          <w:lang w:val="uk-UA"/>
        </w:rPr>
        <w:t xml:space="preserve"> </w:t>
      </w:r>
      <w:r w:rsidRPr="00A3250B">
        <w:rPr>
          <w:color w:val="000000" w:themeColor="text1"/>
          <w:sz w:val="22"/>
          <w:szCs w:val="22"/>
        </w:rPr>
        <w:t>ICB Global also holds the prestigious annual LUCA Awards, known as the “Oscar” of the financial world, which recognize excellence in bookkeeping, students, finance, software, accounting, strategy, HR, tutoring, education providers, companies, institutions, organizations and employers, risk management, audit, and internal audit.</w:t>
      </w:r>
      <w:r w:rsidR="001617C3">
        <w:rPr>
          <w:color w:val="000000" w:themeColor="text1"/>
          <w:sz w:val="22"/>
          <w:szCs w:val="22"/>
          <w:lang w:val="uk-UA"/>
        </w:rPr>
        <w:t xml:space="preserve"> </w:t>
      </w:r>
      <w:r w:rsidRPr="00A3250B">
        <w:rPr>
          <w:color w:val="000000" w:themeColor="text1"/>
          <w:sz w:val="22"/>
          <w:szCs w:val="22"/>
        </w:rPr>
        <w:t>Several ICFM Ukraine nominees have been awarded LUCA Awards, and many of them have travelled to London to receive this highest accolade personally from HRH Prince Michael.</w:t>
      </w:r>
    </w:p>
    <w:p w14:paraId="55C9BD04" w14:textId="43DBB522" w:rsidR="005B63F8" w:rsidRPr="00A3250B" w:rsidRDefault="005B63F8" w:rsidP="005B63F8">
      <w:pPr>
        <w:pStyle w:val="NormalWeb"/>
        <w:rPr>
          <w:color w:val="000000" w:themeColor="text1"/>
          <w:sz w:val="22"/>
          <w:szCs w:val="22"/>
        </w:rPr>
      </w:pPr>
      <w:r w:rsidRPr="00A3250B">
        <w:rPr>
          <w:color w:val="000000" w:themeColor="text1"/>
          <w:sz w:val="22"/>
          <w:szCs w:val="22"/>
        </w:rPr>
        <w:t>ICB Global operates the Institute of Certified Bookkeepers (ICB), registered in England under No. 03274864 as a not-for-profit (NFP) organization, and the Institute of Certified Financial Managers (ICFM), registered in England under No. 05871159 as a not-for-profit (NFP) organization.</w:t>
      </w:r>
      <w:r w:rsidR="001617C3">
        <w:rPr>
          <w:color w:val="000000" w:themeColor="text1"/>
          <w:sz w:val="22"/>
          <w:szCs w:val="22"/>
          <w:lang w:val="uk-UA"/>
        </w:rPr>
        <w:t xml:space="preserve"> </w:t>
      </w:r>
      <w:r w:rsidRPr="00A3250B">
        <w:rPr>
          <w:color w:val="000000" w:themeColor="text1"/>
          <w:sz w:val="22"/>
          <w:szCs w:val="22"/>
        </w:rPr>
        <w:t>The ICB syllabus is based on Generally Accepted Accounting Principles (GAAP) within each country, while the ICFM syllabus is based on International Financial Reporting Standards (IFRS).</w:t>
      </w:r>
    </w:p>
    <w:p w14:paraId="2A2630F2" w14:textId="77777777" w:rsidR="001617C3" w:rsidRPr="001617C3" w:rsidRDefault="001617C3" w:rsidP="001617C3">
      <w:pPr>
        <w:pStyle w:val="pdq2pgselectionanchorcontainer"/>
        <w:rPr>
          <w:b/>
          <w:bCs/>
          <w:sz w:val="22"/>
          <w:szCs w:val="22"/>
        </w:rPr>
      </w:pPr>
      <w:r w:rsidRPr="001617C3">
        <w:rPr>
          <w:rStyle w:val="Strong"/>
          <w:b w:val="0"/>
          <w:bCs w:val="0"/>
          <w:sz w:val="22"/>
          <w:szCs w:val="22"/>
        </w:rPr>
        <w:t>I, Helen Khorikova, hereby certify that the attached document is a true and correct copy of the Regulations that have been in effect since October 30, 2007.</w:t>
      </w:r>
    </w:p>
    <w:p w14:paraId="163072B5" w14:textId="753F1B16" w:rsidR="001617C3" w:rsidRPr="001617C3" w:rsidRDefault="001617C3" w:rsidP="001617C3">
      <w:pPr>
        <w:pStyle w:val="NormalWeb"/>
        <w:rPr>
          <w:b/>
          <w:bCs/>
          <w:sz w:val="22"/>
          <w:szCs w:val="22"/>
        </w:rPr>
      </w:pPr>
      <w:r w:rsidRPr="001617C3">
        <w:rPr>
          <w:rStyle w:val="Strong"/>
          <w:b w:val="0"/>
          <w:bCs w:val="0"/>
          <w:sz w:val="22"/>
          <w:szCs w:val="22"/>
        </w:rPr>
        <w:t>Certified by:</w:t>
      </w:r>
    </w:p>
    <w:p w14:paraId="21B84D78" w14:textId="77777777" w:rsidR="00A66F93" w:rsidRDefault="00A66F93" w:rsidP="00A66F93">
      <w:pPr>
        <w:pStyle w:val="pdq2pgselectionanchorcontainer"/>
        <w:rPr>
          <w:sz w:val="22"/>
          <w:szCs w:val="22"/>
          <w:lang w:val="uk-UA"/>
        </w:rPr>
      </w:pPr>
      <w:r w:rsidRPr="00A66F93">
        <w:rPr>
          <w:sz w:val="22"/>
          <w:szCs w:val="22"/>
        </w:rPr>
        <w:t>Helen Khorikova</w:t>
      </w:r>
      <w:r w:rsidRPr="00A66F93">
        <w:rPr>
          <w:sz w:val="22"/>
          <w:szCs w:val="22"/>
        </w:rPr>
        <w:br/>
        <w:t>Member, ICB International Council</w:t>
      </w:r>
      <w:r w:rsidRPr="00A66F93">
        <w:rPr>
          <w:sz w:val="22"/>
          <w:szCs w:val="22"/>
        </w:rPr>
        <w:br/>
        <w:t>Companion, ICB Global</w:t>
      </w:r>
      <w:r w:rsidRPr="00A66F93">
        <w:rPr>
          <w:sz w:val="22"/>
          <w:szCs w:val="22"/>
        </w:rPr>
        <w:br/>
        <w:t>CEO ICFM UK &amp; ICB UK in Ukraine</w:t>
      </w:r>
      <w:r w:rsidRPr="00A66F93">
        <w:rPr>
          <w:sz w:val="22"/>
          <w:szCs w:val="22"/>
        </w:rPr>
        <w:br/>
        <w:t>Co-Founder, ICFM Ukraine</w:t>
      </w:r>
      <w:r w:rsidRPr="00A66F93">
        <w:rPr>
          <w:sz w:val="22"/>
          <w:szCs w:val="22"/>
        </w:rPr>
        <w:br/>
        <w:t>13 T. Shevchenka Lane, Office 9, Maidan Nezalezhnosti</w:t>
      </w:r>
      <w:r w:rsidRPr="00A66F93">
        <w:rPr>
          <w:sz w:val="22"/>
          <w:szCs w:val="22"/>
        </w:rPr>
        <w:br/>
        <w:t>Kyiv, 01001, Ukraine</w:t>
      </w:r>
      <w:r w:rsidRPr="00A66F93">
        <w:rPr>
          <w:sz w:val="22"/>
          <w:szCs w:val="22"/>
        </w:rPr>
        <w:br/>
        <w:t>Tel.: +380 67 657 20 73</w:t>
      </w:r>
      <w:r>
        <w:rPr>
          <w:sz w:val="22"/>
          <w:szCs w:val="22"/>
          <w:lang w:val="uk-UA"/>
        </w:rPr>
        <w:t xml:space="preserve">   </w:t>
      </w:r>
      <w:r w:rsidRPr="00A66F93">
        <w:rPr>
          <w:sz w:val="22"/>
          <w:szCs w:val="22"/>
        </w:rPr>
        <w:t xml:space="preserve">E-mail: </w:t>
      </w:r>
      <w:hyperlink r:id="rId6" w:history="1">
        <w:r w:rsidRPr="00A66F93">
          <w:rPr>
            <w:rStyle w:val="Hyperlink"/>
            <w:sz w:val="22"/>
            <w:szCs w:val="22"/>
          </w:rPr>
          <w:t>office@icfm.org.ua</w:t>
        </w:r>
      </w:hyperlink>
      <w:r w:rsidRPr="00A66F93">
        <w:rPr>
          <w:sz w:val="22"/>
          <w:szCs w:val="22"/>
        </w:rPr>
        <w:br/>
      </w:r>
    </w:p>
    <w:p w14:paraId="50B169FF" w14:textId="10FF0039" w:rsidR="00781A95" w:rsidRPr="00A66F93" w:rsidRDefault="00A66F93" w:rsidP="00A66F93">
      <w:pPr>
        <w:pStyle w:val="pdq2pgselectionanchorcontainer"/>
        <w:rPr>
          <w:sz w:val="22"/>
          <w:szCs w:val="22"/>
          <w:lang w:val="uk-UA"/>
        </w:rPr>
      </w:pPr>
      <w:r w:rsidRPr="00A66F93">
        <w:rPr>
          <w:sz w:val="22"/>
          <w:szCs w:val="22"/>
        </w:rPr>
        <w:t>September 9, 2026</w:t>
      </w:r>
    </w:p>
    <w:sectPr w:rsidR="00781A95" w:rsidRPr="00A66F93" w:rsidSect="005B63F8">
      <w:pgSz w:w="11906" w:h="16838"/>
      <w:pgMar w:top="482" w:right="907" w:bottom="482" w:left="907" w:header="113" w:footer="11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06638645">
    <w:abstractNumId w:val="8"/>
  </w:num>
  <w:num w:numId="2" w16cid:durableId="1257835050">
    <w:abstractNumId w:val="6"/>
  </w:num>
  <w:num w:numId="3" w16cid:durableId="588538259">
    <w:abstractNumId w:val="5"/>
  </w:num>
  <w:num w:numId="4" w16cid:durableId="367335293">
    <w:abstractNumId w:val="4"/>
  </w:num>
  <w:num w:numId="5" w16cid:durableId="252670577">
    <w:abstractNumId w:val="7"/>
  </w:num>
  <w:num w:numId="6" w16cid:durableId="2039158146">
    <w:abstractNumId w:val="3"/>
  </w:num>
  <w:num w:numId="7" w16cid:durableId="1357467384">
    <w:abstractNumId w:val="2"/>
  </w:num>
  <w:num w:numId="8" w16cid:durableId="673655470">
    <w:abstractNumId w:val="1"/>
  </w:num>
  <w:num w:numId="9" w16cid:durableId="201700175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76B87"/>
    <w:rsid w:val="000814AC"/>
    <w:rsid w:val="000A1043"/>
    <w:rsid w:val="000A2D0A"/>
    <w:rsid w:val="000C2B38"/>
    <w:rsid w:val="001029CB"/>
    <w:rsid w:val="0015074B"/>
    <w:rsid w:val="001617C3"/>
    <w:rsid w:val="00173E40"/>
    <w:rsid w:val="001C3E51"/>
    <w:rsid w:val="00223179"/>
    <w:rsid w:val="00287CCB"/>
    <w:rsid w:val="0029639D"/>
    <w:rsid w:val="002A0FDB"/>
    <w:rsid w:val="002C6501"/>
    <w:rsid w:val="00326F90"/>
    <w:rsid w:val="003671A3"/>
    <w:rsid w:val="0038472E"/>
    <w:rsid w:val="0040728C"/>
    <w:rsid w:val="004263D4"/>
    <w:rsid w:val="004436D3"/>
    <w:rsid w:val="0048290D"/>
    <w:rsid w:val="004E14AA"/>
    <w:rsid w:val="005B63F8"/>
    <w:rsid w:val="00646DC8"/>
    <w:rsid w:val="006F20DB"/>
    <w:rsid w:val="007342D9"/>
    <w:rsid w:val="00781A95"/>
    <w:rsid w:val="007B2A30"/>
    <w:rsid w:val="007C015B"/>
    <w:rsid w:val="008149C2"/>
    <w:rsid w:val="00907454"/>
    <w:rsid w:val="009C1FD7"/>
    <w:rsid w:val="009D7189"/>
    <w:rsid w:val="00A3250B"/>
    <w:rsid w:val="00A55082"/>
    <w:rsid w:val="00A56E85"/>
    <w:rsid w:val="00A64D2C"/>
    <w:rsid w:val="00A66F93"/>
    <w:rsid w:val="00A74B7F"/>
    <w:rsid w:val="00A77CF8"/>
    <w:rsid w:val="00AA1D8D"/>
    <w:rsid w:val="00AA4EFA"/>
    <w:rsid w:val="00AB0170"/>
    <w:rsid w:val="00AC12AD"/>
    <w:rsid w:val="00AE0C96"/>
    <w:rsid w:val="00AE3446"/>
    <w:rsid w:val="00B47730"/>
    <w:rsid w:val="00B61BF7"/>
    <w:rsid w:val="00C00D50"/>
    <w:rsid w:val="00CB0664"/>
    <w:rsid w:val="00D11277"/>
    <w:rsid w:val="00D138E4"/>
    <w:rsid w:val="00D81E68"/>
    <w:rsid w:val="00DD1C98"/>
    <w:rsid w:val="00EE1F62"/>
    <w:rsid w:val="00F20BC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A6BD51"/>
  <w14:defaultImageDpi w14:val="300"/>
  <w15:docId w15:val="{CDE635ED-251B-0E4A-AE19-37746977F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043"/>
    <w:pPr>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1">
    <w:name w:val="p1"/>
    <w:basedOn w:val="Normal"/>
    <w:rsid w:val="001C3E51"/>
    <w:rPr>
      <w:color w:val="000000"/>
      <w:sz w:val="18"/>
      <w:szCs w:val="18"/>
      <w:lang w:val="en-UA" w:eastAsia="en-GB"/>
    </w:rPr>
  </w:style>
  <w:style w:type="character" w:customStyle="1" w:styleId="s2">
    <w:name w:val="s2"/>
    <w:basedOn w:val="DefaultParagraphFont"/>
    <w:rsid w:val="001C3E51"/>
    <w:rPr>
      <w:color w:val="0000FF"/>
    </w:rPr>
  </w:style>
  <w:style w:type="paragraph" w:customStyle="1" w:styleId="pdq2pgselectionanchorcontainer">
    <w:name w:val="pdq2pg_selectionanchorcontainer"/>
    <w:basedOn w:val="Normal"/>
    <w:rsid w:val="00DD1C98"/>
    <w:pPr>
      <w:spacing w:before="100" w:beforeAutospacing="1" w:after="100" w:afterAutospacing="1"/>
    </w:pPr>
    <w:rPr>
      <w:sz w:val="24"/>
      <w:szCs w:val="24"/>
      <w:lang w:val="en-UA" w:eastAsia="en-GB"/>
    </w:rPr>
  </w:style>
  <w:style w:type="paragraph" w:styleId="NormalWeb">
    <w:name w:val="Normal (Web)"/>
    <w:basedOn w:val="Normal"/>
    <w:uiPriority w:val="99"/>
    <w:unhideWhenUsed/>
    <w:rsid w:val="00DD1C98"/>
    <w:pPr>
      <w:spacing w:before="100" w:beforeAutospacing="1" w:after="100" w:afterAutospacing="1"/>
    </w:pPr>
    <w:rPr>
      <w:sz w:val="24"/>
      <w:szCs w:val="24"/>
      <w:lang w:val="en-UA" w:eastAsia="en-GB"/>
    </w:rPr>
  </w:style>
  <w:style w:type="character" w:styleId="Hyperlink">
    <w:name w:val="Hyperlink"/>
    <w:basedOn w:val="DefaultParagraphFont"/>
    <w:uiPriority w:val="99"/>
    <w:semiHidden/>
    <w:unhideWhenUsed/>
    <w:rsid w:val="00A66F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icfm.org.ua"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2781</Words>
  <Characters>15856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Zhanna Dryha</cp:lastModifiedBy>
  <cp:revision>2</cp:revision>
  <dcterms:created xsi:type="dcterms:W3CDTF">2026-09-09T02:17:00Z</dcterms:created>
  <dcterms:modified xsi:type="dcterms:W3CDTF">2026-09-09T02:17:00Z</dcterms:modified>
</cp:coreProperties>
</file>